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Teacher Time Back Lab Leadership Readiness Guide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Complete before the teacher lab is booked</w:t>
      </w:r>
    </w:p>
    <w:p>
      <w:pPr>
        <w:pStyle w:val="Heading1"/>
      </w:pPr>
      <w:r>
        <w:t>The readiness decision</w:t>
      </w:r>
    </w:p>
    <w:p>
      <w:r>
        <w:t>Before booking the teacher lab, name one exact AI product and staff account. If the school has not selected one, hold a separate readiness conversation first.</w:t>
      </w:r>
    </w:p>
    <w:p>
      <w:pPr>
        <w:pStyle w:val="Heading1"/>
      </w:pPr>
      <w:r>
        <w:t>Confirm before the lab</w:t>
      </w:r>
    </w:p>
    <w:p>
      <w:pPr>
        <w:pStyle w:val="ListBullet"/>
      </w:pPr>
      <w:r>
        <w:t>Exact AI product, staff account type, and login path</w:t>
      </w:r>
    </w:p>
    <w:p>
      <w:pPr>
        <w:pStyle w:val="ListBullet"/>
      </w:pPr>
      <w:r>
        <w:t>Current local guidance for staff AI use and data handling</w:t>
      </w:r>
    </w:p>
    <w:p>
      <w:pPr>
        <w:pStyle w:val="ListBullet"/>
      </w:pPr>
      <w:r>
        <w:t>A school contact for policy or platform questions</w:t>
      </w:r>
    </w:p>
    <w:p>
      <w:pPr>
        <w:pStyle w:val="ListBullet"/>
      </w:pPr>
      <w:r>
        <w:t>8–20 participants with working accounts and laptops</w:t>
      </w:r>
    </w:p>
    <w:p>
      <w:pPr>
        <w:pStyle w:val="ListBullet"/>
      </w:pPr>
      <w:r>
        <w:t>Internet, display, accessibility, and technology support</w:t>
      </w:r>
    </w:p>
    <w:p>
      <w:pPr>
        <w:pStyle w:val="ListBullet"/>
      </w:pPr>
      <w:r>
        <w:t>Results will not evaluate individual teachers</w:t>
      </w:r>
    </w:p>
    <w:p>
      <w:pPr>
        <w:pStyle w:val="Heading1"/>
      </w:pPr>
      <w:r>
        <w:t>Introductory boundary</w:t>
      </w:r>
    </w:p>
    <w:p>
      <w:r>
        <w:t>No real student information or student work is used. Codes, initials, group labels, and separate key IDs do not automatically make data safe. Student-level analysis belongs in a separate school-reviewed engagement.</w:t>
      </w:r>
    </w:p>
    <w:p>
      <w:pPr>
        <w:pStyle w:val="Heading1"/>
      </w:pPr>
      <w:r>
        <w:t>Who decides what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Role</w:t>
            </w:r>
          </w:p>
        </w:tc>
        <w:tc>
          <w:tcPr>
            <w:tcW w:type="dxa" w:w="7056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Responsibility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Andrew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Demonstrates and teaches the workflow.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School leadership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Selects the tool, account, rules, and escalation contact.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Teachers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Protect information, review results, and make final decisions.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Qualified specialists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Handle privacy, legal, security, special-education, labor, procurement, and regulated questions.</w:t>
            </w:r>
          </w:p>
        </w:tc>
      </w:tr>
    </w:tbl>
    <w:p>
      <w:pPr>
        <w:pStyle w:val="Heading1"/>
      </w:pPr>
      <w:r>
        <w:t>Follow-up reporting</w:t>
      </w:r>
    </w:p>
    <w:p>
      <w:r>
        <w:t>Leadership receives cohort-level counts and medians, not participant names, task content, or identifiable comments.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Time Back Lab Leadership Readiness Guide</dc:title>
  <dc:subject>Teacher Time Back Lab</dc:subject>
  <dc:creator>Andrew Wolverton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