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Teacher Time Back Lab Facilitator Playbook</w:t>
      </w:r>
    </w:p>
    <w:p>
      <w:pPr>
        <w:spacing w:after="240"/>
      </w:pPr>
      <w:r>
        <w:rPr>
          <w:rFonts w:ascii="Arial" w:hAnsi="Arial"/>
          <w:b w:val="0"/>
          <w:color w:val="555555"/>
          <w:sz w:val="22"/>
        </w:rPr>
        <w:t>Delivery script, run of show, technology fallback, and nuanced FAQ</w:t>
      </w:r>
    </w:p>
    <w:p>
      <w:pPr>
        <w:pStyle w:val="Heading1"/>
      </w:pPr>
      <w:r>
        <w:t>Purpose and promise</w:t>
      </w:r>
    </w:p>
    <w:p>
      <w:r>
        <w:t>Bring one task you keep doing. Leave with one assistant you can use again.</w:t>
      </w:r>
    </w:p>
    <w:p>
      <w:r>
        <w:t>The assistant prepares. The teacher decides.</w:t>
      </w:r>
    </w:p>
    <w:p>
      <w:pPr>
        <w:pStyle w:val="ListBullet"/>
      </w:pPr>
      <w:r>
        <w:t>45-minute leadership setup</w:t>
      </w:r>
    </w:p>
    <w:p>
      <w:pPr>
        <w:pStyle w:val="ListBullet"/>
      </w:pPr>
      <w:r>
        <w:t>90-minute teacher lab</w:t>
      </w:r>
    </w:p>
    <w:p>
      <w:pPr>
        <w:pStyle w:val="ListBullet"/>
      </w:pPr>
      <w:r>
        <w:t>30-minute follow-up two weeks later</w:t>
      </w:r>
    </w:p>
    <w:p>
      <w:pPr>
        <w:pStyle w:val="ListBullet"/>
      </w:pPr>
      <w:r>
        <w:t>8–20 educators</w:t>
      </w:r>
    </w:p>
    <w:p>
      <w:pPr>
        <w:pStyle w:val="ListBullet"/>
      </w:pPr>
      <w:r>
        <w:t>$1,500 founding-school pilot; second same-day cohort $750</w:t>
      </w:r>
    </w:p>
    <w:p>
      <w:pPr>
        <w:pStyle w:val="Heading1"/>
      </w:pPr>
      <w:r>
        <w:t>Leadership setup</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080"/>
            <w:vAlign w:val="center"/>
            <w:shd w:fill="F1F3F4"/>
          </w:tcPr>
          <w:p>
            <w:r>
              <w:rPr>
                <w:rFonts w:ascii="Arial" w:hAnsi="Arial"/>
                <w:b/>
                <w:color w:val="000000"/>
                <w:sz w:val="21"/>
              </w:rPr>
              <w:t>Time</w:t>
            </w:r>
          </w:p>
        </w:tc>
        <w:tc>
          <w:tcPr>
            <w:tcW w:type="dxa" w:w="2376"/>
            <w:vAlign w:val="center"/>
            <w:shd w:fill="F1F3F4"/>
          </w:tcPr>
          <w:p>
            <w:r>
              <w:rPr>
                <w:rFonts w:ascii="Arial" w:hAnsi="Arial"/>
                <w:b/>
                <w:color w:val="000000"/>
                <w:sz w:val="21"/>
              </w:rPr>
              <w:t>Purpose</w:t>
            </w:r>
          </w:p>
        </w:tc>
        <w:tc>
          <w:tcPr>
            <w:tcW w:type="dxa" w:w="5904"/>
            <w:vAlign w:val="center"/>
            <w:shd w:fill="F1F3F4"/>
          </w:tcPr>
          <w:p>
            <w:r>
              <w:rPr>
                <w:rFonts w:ascii="Arial" w:hAnsi="Arial"/>
                <w:b/>
                <w:color w:val="000000"/>
                <w:sz w:val="21"/>
              </w:rPr>
              <w:t>Action</w:t>
            </w:r>
          </w:p>
        </w:tc>
      </w:tr>
      <w:tr>
        <w:tc>
          <w:tcPr>
            <w:tcW w:type="dxa" w:w="1080"/>
            <w:vAlign w:val="top"/>
          </w:tcPr>
          <w:p>
            <w:r>
              <w:rPr>
                <w:rFonts w:ascii="Arial" w:hAnsi="Arial"/>
                <w:b w:val="0"/>
                <w:color w:val="000000"/>
                <w:sz w:val="21"/>
              </w:rPr>
              <w:t>0–5</w:t>
            </w:r>
          </w:p>
        </w:tc>
        <w:tc>
          <w:tcPr>
            <w:tcW w:type="dxa" w:w="2376"/>
            <w:vAlign w:val="top"/>
          </w:tcPr>
          <w:p>
            <w:r>
              <w:rPr>
                <w:rFonts w:ascii="Arial" w:hAnsi="Arial"/>
                <w:b w:val="0"/>
                <w:color w:val="000000"/>
                <w:sz w:val="21"/>
              </w:rPr>
              <w:t>Frame the decision</w:t>
            </w:r>
          </w:p>
        </w:tc>
        <w:tc>
          <w:tcPr>
            <w:tcW w:type="dxa" w:w="5904"/>
            <w:vAlign w:val="top"/>
          </w:tcPr>
          <w:p>
            <w:r>
              <w:rPr>
                <w:rFonts w:ascii="Arial" w:hAnsi="Arial"/>
                <w:b w:val="0"/>
                <w:color w:val="000000"/>
                <w:sz w:val="21"/>
              </w:rPr>
              <w:t>Name one exact product, one staff account type, and one school contact.</w:t>
            </w:r>
          </w:p>
        </w:tc>
      </w:tr>
      <w:tr>
        <w:tc>
          <w:tcPr>
            <w:tcW w:type="dxa" w:w="1080"/>
            <w:vAlign w:val="top"/>
          </w:tcPr>
          <w:p>
            <w:r>
              <w:rPr>
                <w:rFonts w:ascii="Arial" w:hAnsi="Arial"/>
                <w:b w:val="0"/>
                <w:color w:val="000000"/>
                <w:sz w:val="21"/>
              </w:rPr>
              <w:t>5–15</w:t>
            </w:r>
          </w:p>
        </w:tc>
        <w:tc>
          <w:tcPr>
            <w:tcW w:type="dxa" w:w="2376"/>
            <w:vAlign w:val="top"/>
          </w:tcPr>
          <w:p>
            <w:r>
              <w:rPr>
                <w:rFonts w:ascii="Arial" w:hAnsi="Arial"/>
                <w:b w:val="0"/>
                <w:color w:val="000000"/>
                <w:sz w:val="21"/>
              </w:rPr>
              <w:t>Name the tool and account</w:t>
            </w:r>
          </w:p>
        </w:tc>
        <w:tc>
          <w:tcPr>
            <w:tcW w:type="dxa" w:w="5904"/>
            <w:vAlign w:val="top"/>
          </w:tcPr>
          <w:p>
            <w:r>
              <w:rPr>
                <w:rFonts w:ascii="Arial" w:hAnsi="Arial"/>
                <w:b w:val="0"/>
                <w:color w:val="000000"/>
                <w:sz w:val="21"/>
              </w:rPr>
              <w:t>Confirm login path, account controls, and cohort access.</w:t>
            </w:r>
          </w:p>
        </w:tc>
      </w:tr>
      <w:tr>
        <w:tc>
          <w:tcPr>
            <w:tcW w:type="dxa" w:w="1080"/>
            <w:vAlign w:val="top"/>
          </w:tcPr>
          <w:p>
            <w:r>
              <w:rPr>
                <w:rFonts w:ascii="Arial" w:hAnsi="Arial"/>
                <w:b w:val="0"/>
                <w:color w:val="000000"/>
                <w:sz w:val="21"/>
              </w:rPr>
              <w:t>15–25</w:t>
            </w:r>
          </w:p>
        </w:tc>
        <w:tc>
          <w:tcPr>
            <w:tcW w:type="dxa" w:w="2376"/>
            <w:vAlign w:val="top"/>
          </w:tcPr>
          <w:p>
            <w:r>
              <w:rPr>
                <w:rFonts w:ascii="Arial" w:hAnsi="Arial"/>
                <w:b w:val="0"/>
                <w:color w:val="000000"/>
                <w:sz w:val="21"/>
              </w:rPr>
              <w:t>Set the boundary</w:t>
            </w:r>
          </w:p>
        </w:tc>
        <w:tc>
          <w:tcPr>
            <w:tcW w:type="dxa" w:w="5904"/>
            <w:vAlign w:val="top"/>
          </w:tcPr>
          <w:p>
            <w:r>
              <w:rPr>
                <w:rFonts w:ascii="Arial" w:hAnsi="Arial"/>
                <w:b w:val="0"/>
                <w:color w:val="000000"/>
                <w:sz w:val="21"/>
              </w:rPr>
              <w:t>No real student information or work. Confirm local rules and escalation.</w:t>
            </w:r>
          </w:p>
        </w:tc>
      </w:tr>
      <w:tr>
        <w:tc>
          <w:tcPr>
            <w:tcW w:type="dxa" w:w="1080"/>
            <w:vAlign w:val="top"/>
          </w:tcPr>
          <w:p>
            <w:r>
              <w:rPr>
                <w:rFonts w:ascii="Arial" w:hAnsi="Arial"/>
                <w:b w:val="0"/>
                <w:color w:val="000000"/>
                <w:sz w:val="21"/>
              </w:rPr>
              <w:t>25–35</w:t>
            </w:r>
          </w:p>
        </w:tc>
        <w:tc>
          <w:tcPr>
            <w:tcW w:type="dxa" w:w="2376"/>
            <w:vAlign w:val="top"/>
          </w:tcPr>
          <w:p>
            <w:r>
              <w:rPr>
                <w:rFonts w:ascii="Arial" w:hAnsi="Arial"/>
                <w:b w:val="0"/>
                <w:color w:val="000000"/>
                <w:sz w:val="21"/>
              </w:rPr>
              <w:t>Confirm operations</w:t>
            </w:r>
          </w:p>
        </w:tc>
        <w:tc>
          <w:tcPr>
            <w:tcW w:type="dxa" w:w="5904"/>
            <w:vAlign w:val="top"/>
          </w:tcPr>
          <w:p>
            <w:r>
              <w:rPr>
                <w:rFonts w:ascii="Arial" w:hAnsi="Arial"/>
                <w:b w:val="0"/>
                <w:color w:val="000000"/>
                <w:sz w:val="21"/>
              </w:rPr>
              <w:t>Cohort, space, devices, accessibility, technology support, and non-evaluative participation.</w:t>
            </w:r>
          </w:p>
        </w:tc>
      </w:tr>
      <w:tr>
        <w:tc>
          <w:tcPr>
            <w:tcW w:type="dxa" w:w="1080"/>
            <w:vAlign w:val="top"/>
          </w:tcPr>
          <w:p>
            <w:r>
              <w:rPr>
                <w:rFonts w:ascii="Arial" w:hAnsi="Arial"/>
                <w:b w:val="0"/>
                <w:color w:val="000000"/>
                <w:sz w:val="21"/>
              </w:rPr>
              <w:t>35–42</w:t>
            </w:r>
          </w:p>
        </w:tc>
        <w:tc>
          <w:tcPr>
            <w:tcW w:type="dxa" w:w="2376"/>
            <w:vAlign w:val="top"/>
          </w:tcPr>
          <w:p>
            <w:r>
              <w:rPr>
                <w:rFonts w:ascii="Arial" w:hAnsi="Arial"/>
                <w:b w:val="0"/>
                <w:color w:val="000000"/>
                <w:sz w:val="21"/>
              </w:rPr>
              <w:t>Preview the product</w:t>
            </w:r>
          </w:p>
        </w:tc>
        <w:tc>
          <w:tcPr>
            <w:tcW w:type="dxa" w:w="5904"/>
            <w:vAlign w:val="top"/>
          </w:tcPr>
          <w:p>
            <w:r>
              <w:rPr>
                <w:rFonts w:ascii="Arial" w:hAnsi="Arial"/>
                <w:b w:val="0"/>
                <w:color w:val="000000"/>
                <w:sz w:val="21"/>
              </w:rPr>
              <w:t>Show the Weekly Lesson Setup Assistant cycle.</w:t>
            </w:r>
          </w:p>
        </w:tc>
      </w:tr>
      <w:tr>
        <w:tc>
          <w:tcPr>
            <w:tcW w:type="dxa" w:w="1080"/>
            <w:vAlign w:val="top"/>
          </w:tcPr>
          <w:p>
            <w:r>
              <w:rPr>
                <w:rFonts w:ascii="Arial" w:hAnsi="Arial"/>
                <w:b w:val="0"/>
                <w:color w:val="000000"/>
                <w:sz w:val="21"/>
              </w:rPr>
              <w:t>42–45</w:t>
            </w:r>
          </w:p>
        </w:tc>
        <w:tc>
          <w:tcPr>
            <w:tcW w:type="dxa" w:w="2376"/>
            <w:vAlign w:val="top"/>
          </w:tcPr>
          <w:p>
            <w:r>
              <w:rPr>
                <w:rFonts w:ascii="Arial" w:hAnsi="Arial"/>
                <w:b w:val="0"/>
                <w:color w:val="000000"/>
                <w:sz w:val="21"/>
              </w:rPr>
              <w:t>Lock next actions</w:t>
            </w:r>
          </w:p>
        </w:tc>
        <w:tc>
          <w:tcPr>
            <w:tcW w:type="dxa" w:w="5904"/>
            <w:vAlign w:val="top"/>
          </w:tcPr>
          <w:p>
            <w:r>
              <w:rPr>
                <w:rFonts w:ascii="Arial" w:hAnsi="Arial"/>
                <w:b w:val="0"/>
                <w:color w:val="000000"/>
                <w:sz w:val="21"/>
              </w:rPr>
              <w:t>Complete the Platform Setup Record.</w:t>
            </w:r>
          </w:p>
        </w:tc>
      </w:tr>
    </w:tbl>
    <w:p>
      <w:pPr>
        <w:pStyle w:val="Heading1"/>
      </w:pPr>
      <w:r>
        <w:t>Opening script</w:t>
      </w:r>
    </w:p>
    <w:p>
      <w:r>
        <w:t>Today is not a tour of AI. You are going to stop rebuilding one piece of work. I will show you a finished example first, then we will build your version together. You do not need coding or previous AI experience.</w:t>
      </w:r>
    </w:p>
    <w:p>
      <w:r>
        <w:t>We will not use real student information, student work, family records, personnel records, or confidential school files. If you are unsure, stop and ask the school contact.</w:t>
      </w:r>
    </w:p>
    <w:p>
      <w:r>
        <w:t>Show rough notes, saved instructions, first result, and teacher correction before explaining the five fields.</w:t>
      </w:r>
    </w:p>
    <w:p>
      <w:pPr>
        <w:pStyle w:val="Heading1"/>
      </w:pPr>
      <w:r>
        <w:t>Teacher lab run of show</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440"/>
            <w:vAlign w:val="center"/>
            <w:shd w:fill="F1F3F4"/>
          </w:tcPr>
          <w:p>
            <w:r>
              <w:rPr>
                <w:rFonts w:ascii="Arial" w:hAnsi="Arial"/>
                <w:b/>
                <w:color w:val="000000"/>
                <w:sz w:val="21"/>
              </w:rPr>
              <w:t>Time</w:t>
            </w:r>
          </w:p>
        </w:tc>
        <w:tc>
          <w:tcPr>
            <w:tcW w:type="dxa" w:w="7920"/>
            <w:vAlign w:val="center"/>
            <w:shd w:fill="F1F3F4"/>
          </w:tcPr>
          <w:p>
            <w:r>
              <w:rPr>
                <w:rFonts w:ascii="Arial" w:hAnsi="Arial"/>
                <w:b/>
                <w:color w:val="000000"/>
                <w:sz w:val="21"/>
              </w:rPr>
              <w:t>Participant action</w:t>
            </w:r>
          </w:p>
        </w:tc>
      </w:tr>
      <w:tr>
        <w:tc>
          <w:tcPr>
            <w:tcW w:type="dxa" w:w="1440"/>
            <w:vAlign w:val="top"/>
          </w:tcPr>
          <w:p>
            <w:r>
              <w:rPr>
                <w:rFonts w:ascii="Arial" w:hAnsi="Arial"/>
                <w:b w:val="0"/>
                <w:color w:val="000000"/>
                <w:sz w:val="21"/>
              </w:rPr>
              <w:t>0–10</w:t>
            </w:r>
          </w:p>
        </w:tc>
        <w:tc>
          <w:tcPr>
            <w:tcW w:type="dxa" w:w="7920"/>
            <w:vAlign w:val="top"/>
          </w:tcPr>
          <w:p>
            <w:r>
              <w:rPr>
                <w:rFonts w:ascii="Arial" w:hAnsi="Arial"/>
                <w:b w:val="0"/>
                <w:color w:val="000000"/>
                <w:sz w:val="21"/>
              </w:rPr>
              <w:t>See the finished product</w:t>
            </w:r>
          </w:p>
        </w:tc>
      </w:tr>
      <w:tr>
        <w:tc>
          <w:tcPr>
            <w:tcW w:type="dxa" w:w="1440"/>
            <w:vAlign w:val="top"/>
          </w:tcPr>
          <w:p>
            <w:r>
              <w:rPr>
                <w:rFonts w:ascii="Arial" w:hAnsi="Arial"/>
                <w:b w:val="0"/>
                <w:color w:val="000000"/>
                <w:sz w:val="21"/>
              </w:rPr>
              <w:t>10–22</w:t>
            </w:r>
          </w:p>
        </w:tc>
        <w:tc>
          <w:tcPr>
            <w:tcW w:type="dxa" w:w="7920"/>
            <w:vAlign w:val="top"/>
          </w:tcPr>
          <w:p>
            <w:r>
              <w:rPr>
                <w:rFonts w:ascii="Arial" w:hAnsi="Arial"/>
                <w:b w:val="0"/>
                <w:color w:val="000000"/>
                <w:sz w:val="21"/>
              </w:rPr>
              <w:t>Choose one repeated task</w:t>
            </w:r>
          </w:p>
        </w:tc>
      </w:tr>
      <w:tr>
        <w:tc>
          <w:tcPr>
            <w:tcW w:type="dxa" w:w="1440"/>
            <w:vAlign w:val="top"/>
          </w:tcPr>
          <w:p>
            <w:r>
              <w:rPr>
                <w:rFonts w:ascii="Arial" w:hAnsi="Arial"/>
                <w:b w:val="0"/>
                <w:color w:val="000000"/>
                <w:sz w:val="21"/>
              </w:rPr>
              <w:t>22–32</w:t>
            </w:r>
          </w:p>
        </w:tc>
        <w:tc>
          <w:tcPr>
            <w:tcW w:type="dxa" w:w="7920"/>
            <w:vAlign w:val="top"/>
          </w:tcPr>
          <w:p>
            <w:r>
              <w:rPr>
                <w:rFonts w:ascii="Arial" w:hAnsi="Arial"/>
                <w:b w:val="0"/>
                <w:color w:val="000000"/>
                <w:sz w:val="21"/>
              </w:rPr>
              <w:t>Check the school tool and account</w:t>
            </w:r>
          </w:p>
        </w:tc>
      </w:tr>
      <w:tr>
        <w:tc>
          <w:tcPr>
            <w:tcW w:type="dxa" w:w="1440"/>
            <w:vAlign w:val="top"/>
          </w:tcPr>
          <w:p>
            <w:r>
              <w:rPr>
                <w:rFonts w:ascii="Arial" w:hAnsi="Arial"/>
                <w:b w:val="0"/>
                <w:color w:val="000000"/>
                <w:sz w:val="21"/>
              </w:rPr>
              <w:t>32–52</w:t>
            </w:r>
          </w:p>
        </w:tc>
        <w:tc>
          <w:tcPr>
            <w:tcW w:type="dxa" w:w="7920"/>
            <w:vAlign w:val="top"/>
          </w:tcPr>
          <w:p>
            <w:r>
              <w:rPr>
                <w:rFonts w:ascii="Arial" w:hAnsi="Arial"/>
                <w:b w:val="0"/>
                <w:color w:val="000000"/>
                <w:sz w:val="21"/>
              </w:rPr>
              <w:t>Build the five fields</w:t>
            </w:r>
          </w:p>
        </w:tc>
      </w:tr>
      <w:tr>
        <w:tc>
          <w:tcPr>
            <w:tcW w:type="dxa" w:w="1440"/>
            <w:vAlign w:val="top"/>
          </w:tcPr>
          <w:p>
            <w:r>
              <w:rPr>
                <w:rFonts w:ascii="Arial" w:hAnsi="Arial"/>
                <w:b w:val="0"/>
                <w:color w:val="000000"/>
                <w:sz w:val="21"/>
              </w:rPr>
              <w:t>52–68</w:t>
            </w:r>
          </w:p>
        </w:tc>
        <w:tc>
          <w:tcPr>
            <w:tcW w:type="dxa" w:w="7920"/>
            <w:vAlign w:val="top"/>
          </w:tcPr>
          <w:p>
            <w:r>
              <w:rPr>
                <w:rFonts w:ascii="Arial" w:hAnsi="Arial"/>
                <w:b w:val="0"/>
                <w:color w:val="000000"/>
                <w:sz w:val="21"/>
              </w:rPr>
              <w:t>Practice and review</w:t>
            </w:r>
          </w:p>
        </w:tc>
      </w:tr>
      <w:tr>
        <w:tc>
          <w:tcPr>
            <w:tcW w:type="dxa" w:w="1440"/>
            <w:vAlign w:val="top"/>
          </w:tcPr>
          <w:p>
            <w:r>
              <w:rPr>
                <w:rFonts w:ascii="Arial" w:hAnsi="Arial"/>
                <w:b w:val="0"/>
                <w:color w:val="000000"/>
                <w:sz w:val="21"/>
              </w:rPr>
              <w:t>68–78</w:t>
            </w:r>
          </w:p>
        </w:tc>
        <w:tc>
          <w:tcPr>
            <w:tcW w:type="dxa" w:w="7920"/>
            <w:vAlign w:val="top"/>
          </w:tcPr>
          <w:p>
            <w:r>
              <w:rPr>
                <w:rFonts w:ascii="Arial" w:hAnsi="Arial"/>
                <w:b w:val="0"/>
                <w:color w:val="000000"/>
                <w:sz w:val="21"/>
              </w:rPr>
              <w:t>Revise once and retest</w:t>
            </w:r>
          </w:p>
        </w:tc>
      </w:tr>
      <w:tr>
        <w:tc>
          <w:tcPr>
            <w:tcW w:type="dxa" w:w="1440"/>
            <w:vAlign w:val="top"/>
          </w:tcPr>
          <w:p>
            <w:r>
              <w:rPr>
                <w:rFonts w:ascii="Arial" w:hAnsi="Arial"/>
                <w:b w:val="0"/>
                <w:color w:val="000000"/>
                <w:sz w:val="21"/>
              </w:rPr>
              <w:t>78–86</w:t>
            </w:r>
          </w:p>
        </w:tc>
        <w:tc>
          <w:tcPr>
            <w:tcW w:type="dxa" w:w="7920"/>
            <w:vAlign w:val="top"/>
          </w:tcPr>
          <w:p>
            <w:r>
              <w:rPr>
                <w:rFonts w:ascii="Arial" w:hAnsi="Arial"/>
                <w:b w:val="0"/>
                <w:color w:val="000000"/>
                <w:sz w:val="21"/>
              </w:rPr>
              <w:t>Save and begin the two-week log</w:t>
            </w:r>
          </w:p>
        </w:tc>
      </w:tr>
      <w:tr>
        <w:tc>
          <w:tcPr>
            <w:tcW w:type="dxa" w:w="1440"/>
            <w:vAlign w:val="top"/>
          </w:tcPr>
          <w:p>
            <w:r>
              <w:rPr>
                <w:rFonts w:ascii="Arial" w:hAnsi="Arial"/>
                <w:b w:val="0"/>
                <w:color w:val="000000"/>
                <w:sz w:val="21"/>
              </w:rPr>
              <w:t>86–90</w:t>
            </w:r>
          </w:p>
        </w:tc>
        <w:tc>
          <w:tcPr>
            <w:tcW w:type="dxa" w:w="7920"/>
            <w:vAlign w:val="top"/>
          </w:tcPr>
          <w:p>
            <w:r>
              <w:rPr>
                <w:rFonts w:ascii="Arial" w:hAnsi="Arial"/>
                <w:b w:val="0"/>
                <w:color w:val="000000"/>
                <w:sz w:val="21"/>
              </w:rPr>
              <w:t>Exit check and next step</w:t>
            </w:r>
          </w:p>
        </w:tc>
      </w:tr>
    </w:tbl>
    <w:p>
      <w:pPr>
        <w:pStyle w:val="Heading1"/>
      </w:pPr>
      <w:r>
        <w:t>The five-part setup</w:t>
      </w:r>
    </w:p>
    <w:p>
      <w:pPr>
        <w:pStyle w:val="ListNumber"/>
      </w:pPr>
      <w:r>
        <w:t>Help me with: Name one repeated job, not a broad role.</w:t>
      </w:r>
    </w:p>
    <w:p>
      <w:pPr>
        <w:pStyle w:val="ListNumber"/>
      </w:pPr>
      <w:r>
        <w:t>Use only: Name the exact blank format, rough notes, public standard, or other permitted material for this task.</w:t>
      </w:r>
    </w:p>
    <w:p>
      <w:pPr>
        <w:pStyle w:val="ListNumber"/>
      </w:pPr>
      <w:r>
        <w:t>Return: Describe the useful shape of the first draft.</w:t>
      </w:r>
    </w:p>
    <w:p>
      <w:pPr>
        <w:pStyle w:val="ListNumber"/>
      </w:pPr>
      <w:r>
        <w:t>Stop and ask if: Name what must be present. Missing information becomes NEEDS TEACHER INPUT.</w:t>
      </w:r>
    </w:p>
    <w:p>
      <w:pPr>
        <w:pStyle w:val="ListNumber"/>
      </w:pPr>
      <w:r>
        <w:t>I will review: Check facts, bias, appropriateness, alignment, missing information, and final wording.</w:t>
      </w:r>
    </w:p>
    <w:p>
      <w:r>
        <w:t>Use only the text or files I give you for this task. If the information is not there, mark NEEDS TEACHER INPUT instead of guessing.</w:t>
      </w:r>
    </w:p>
    <w:p>
      <w:pPr>
        <w:pStyle w:val="Heading1"/>
      </w:pPr>
      <w:r>
        <w:t>Four-question safety rehearsal</w:t>
      </w:r>
    </w:p>
    <w:p>
      <w:r>
        <w:t>This is a four-question practice. Choose one answer. When the safe answer is selected, the visual changes and explains why.</w:t>
      </w:r>
    </w:p>
    <w:p>
      <w:pPr>
        <w:pStyle w:val="ListNumber"/>
      </w:pPr>
      <w:r>
        <w:t>Which account should a teacher use? Correct answer: The exact AI tool and staff account the school named. A personal or workaround account is not the lab path.</w:t>
      </w:r>
    </w:p>
    <w:p>
      <w:pPr>
        <w:pStyle w:val="ListNumber"/>
      </w:pPr>
      <w:r>
        <w:t>Is replacing names with Student A or a key ID automatically safe? Correct answer: No. Other details, group size, context, and linked records may still identify a student.</w:t>
      </w:r>
    </w:p>
    <w:p>
      <w:pPr>
        <w:pStyle w:val="ListNumber"/>
      </w:pPr>
      <w:r>
        <w:t>What should happen when required information is missing? Correct answer: The assistant marks NEEDS TEACHER INPUT. It does not guess or invent the missing detail.</w:t>
      </w:r>
    </w:p>
    <w:p>
      <w:pPr>
        <w:pStyle w:val="ListNumber"/>
      </w:pPr>
      <w:r>
        <w:t>Who makes the final decision? Correct answer: The teacher. The assistant prepares. The teacher reviews, corrects, and decides.</w:t>
      </w:r>
    </w:p>
    <w:p>
      <w:pPr>
        <w:pStyle w:val="Heading1"/>
      </w:pPr>
      <w:r>
        <w:t>Technology fallback</w:t>
      </w:r>
    </w:p>
    <w:p>
      <w:r>
        <w:t>Continue from exported images and complete the five fields on paper. The school host handles access. Do not create workaround accounts. Schedule completion because the product is not finished until saved and tested.</w:t>
      </w:r>
    </w:p>
    <w:p>
      <w:pPr>
        <w:pStyle w:val="Heading1"/>
      </w:pPr>
      <w:r>
        <w:t>Two-week follow-up</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080"/>
            <w:vAlign w:val="center"/>
            <w:shd w:fill="F1F3F4"/>
          </w:tcPr>
          <w:p>
            <w:r>
              <w:rPr>
                <w:rFonts w:ascii="Arial" w:hAnsi="Arial"/>
                <w:b/>
                <w:color w:val="000000"/>
                <w:sz w:val="21"/>
              </w:rPr>
              <w:t>Time</w:t>
            </w:r>
          </w:p>
        </w:tc>
        <w:tc>
          <w:tcPr>
            <w:tcW w:type="dxa" w:w="2088"/>
            <w:vAlign w:val="center"/>
            <w:shd w:fill="F1F3F4"/>
          </w:tcPr>
          <w:p>
            <w:r>
              <w:rPr>
                <w:rFonts w:ascii="Arial" w:hAnsi="Arial"/>
                <w:b/>
                <w:color w:val="000000"/>
                <w:sz w:val="21"/>
              </w:rPr>
              <w:t>Move</w:t>
            </w:r>
          </w:p>
        </w:tc>
        <w:tc>
          <w:tcPr>
            <w:tcW w:type="dxa" w:w="6192"/>
            <w:vAlign w:val="center"/>
            <w:shd w:fill="F1F3F4"/>
          </w:tcPr>
          <w:p>
            <w:r>
              <w:rPr>
                <w:rFonts w:ascii="Arial" w:hAnsi="Arial"/>
                <w:b/>
                <w:color w:val="000000"/>
                <w:sz w:val="21"/>
              </w:rPr>
              <w:t>Language</w:t>
            </w:r>
          </w:p>
        </w:tc>
      </w:tr>
      <w:tr>
        <w:tc>
          <w:tcPr>
            <w:tcW w:type="dxa" w:w="1080"/>
            <w:vAlign w:val="top"/>
          </w:tcPr>
          <w:p>
            <w:r>
              <w:rPr>
                <w:rFonts w:ascii="Arial" w:hAnsi="Arial"/>
                <w:b w:val="0"/>
                <w:color w:val="000000"/>
                <w:sz w:val="21"/>
              </w:rPr>
              <w:t>0–5</w:t>
            </w:r>
          </w:p>
        </w:tc>
        <w:tc>
          <w:tcPr>
            <w:tcW w:type="dxa" w:w="2088"/>
            <w:vAlign w:val="top"/>
          </w:tcPr>
          <w:p>
            <w:r>
              <w:rPr>
                <w:rFonts w:ascii="Arial" w:hAnsi="Arial"/>
                <w:b w:val="0"/>
                <w:color w:val="000000"/>
                <w:sz w:val="21"/>
              </w:rPr>
              <w:t>Restate the decision</w:t>
            </w:r>
          </w:p>
        </w:tc>
        <w:tc>
          <w:tcPr>
            <w:tcW w:type="dxa" w:w="6192"/>
            <w:vAlign w:val="top"/>
          </w:tcPr>
          <w:p>
            <w:r>
              <w:rPr>
                <w:rFonts w:ascii="Arial" w:hAnsi="Arial"/>
                <w:b w:val="0"/>
                <w:color w:val="000000"/>
                <w:sz w:val="21"/>
              </w:rPr>
              <w:t>Decide whether each workflow should be kept, revised, or stopped.</w:t>
            </w:r>
          </w:p>
        </w:tc>
      </w:tr>
      <w:tr>
        <w:tc>
          <w:tcPr>
            <w:tcW w:type="dxa" w:w="1080"/>
            <w:vAlign w:val="top"/>
          </w:tcPr>
          <w:p>
            <w:r>
              <w:rPr>
                <w:rFonts w:ascii="Arial" w:hAnsi="Arial"/>
                <w:b w:val="0"/>
                <w:color w:val="000000"/>
                <w:sz w:val="21"/>
              </w:rPr>
              <w:t>5–15</w:t>
            </w:r>
          </w:p>
        </w:tc>
        <w:tc>
          <w:tcPr>
            <w:tcW w:type="dxa" w:w="2088"/>
            <w:vAlign w:val="top"/>
          </w:tcPr>
          <w:p>
            <w:r>
              <w:rPr>
                <w:rFonts w:ascii="Arial" w:hAnsi="Arial"/>
                <w:b w:val="0"/>
                <w:color w:val="000000"/>
                <w:sz w:val="21"/>
              </w:rPr>
              <w:t>Review the evidence</w:t>
            </w:r>
          </w:p>
        </w:tc>
        <w:tc>
          <w:tcPr>
            <w:tcW w:type="dxa" w:w="6192"/>
            <w:vAlign w:val="top"/>
          </w:tcPr>
          <w:p>
            <w:r>
              <w:rPr>
                <w:rFonts w:ascii="Arial" w:hAnsi="Arial"/>
                <w:b w:val="0"/>
                <w:color w:val="000000"/>
                <w:sz w:val="21"/>
              </w:rPr>
              <w:t>Uses, before time, assisted time, correction and review time, and result quality.</w:t>
            </w:r>
          </w:p>
        </w:tc>
      </w:tr>
      <w:tr>
        <w:tc>
          <w:tcPr>
            <w:tcW w:type="dxa" w:w="1080"/>
            <w:vAlign w:val="top"/>
          </w:tcPr>
          <w:p>
            <w:r>
              <w:rPr>
                <w:rFonts w:ascii="Arial" w:hAnsi="Arial"/>
                <w:b w:val="0"/>
                <w:color w:val="000000"/>
                <w:sz w:val="21"/>
              </w:rPr>
              <w:t>15–23</w:t>
            </w:r>
          </w:p>
        </w:tc>
        <w:tc>
          <w:tcPr>
            <w:tcW w:type="dxa" w:w="2088"/>
            <w:vAlign w:val="top"/>
          </w:tcPr>
          <w:p>
            <w:r>
              <w:rPr>
                <w:rFonts w:ascii="Arial" w:hAnsi="Arial"/>
                <w:b w:val="0"/>
                <w:color w:val="000000"/>
                <w:sz w:val="21"/>
              </w:rPr>
              <w:t>Troubleshoot patterns</w:t>
            </w:r>
          </w:p>
        </w:tc>
        <w:tc>
          <w:tcPr>
            <w:tcW w:type="dxa" w:w="6192"/>
            <w:vAlign w:val="top"/>
          </w:tcPr>
          <w:p>
            <w:r>
              <w:rPr>
                <w:rFonts w:ascii="Arial" w:hAnsi="Arial"/>
                <w:b w:val="0"/>
                <w:color w:val="000000"/>
                <w:sz w:val="21"/>
              </w:rPr>
              <w:t>Discuss broad tasks, missing inputs, weak output shape, and review burden without exposing participant content.</w:t>
            </w:r>
          </w:p>
        </w:tc>
      </w:tr>
      <w:tr>
        <w:tc>
          <w:tcPr>
            <w:tcW w:type="dxa" w:w="1080"/>
            <w:vAlign w:val="top"/>
          </w:tcPr>
          <w:p>
            <w:r>
              <w:rPr>
                <w:rFonts w:ascii="Arial" w:hAnsi="Arial"/>
                <w:b w:val="0"/>
                <w:color w:val="000000"/>
                <w:sz w:val="21"/>
              </w:rPr>
              <w:t>23–28</w:t>
            </w:r>
          </w:p>
        </w:tc>
        <w:tc>
          <w:tcPr>
            <w:tcW w:type="dxa" w:w="2088"/>
            <w:vAlign w:val="top"/>
          </w:tcPr>
          <w:p>
            <w:r>
              <w:rPr>
                <w:rFonts w:ascii="Arial" w:hAnsi="Arial"/>
                <w:b w:val="0"/>
                <w:color w:val="000000"/>
                <w:sz w:val="21"/>
              </w:rPr>
              <w:t>Make decisions</w:t>
            </w:r>
          </w:p>
        </w:tc>
        <w:tc>
          <w:tcPr>
            <w:tcW w:type="dxa" w:w="6192"/>
            <w:vAlign w:val="top"/>
          </w:tcPr>
          <w:p>
            <w:r>
              <w:rPr>
                <w:rFonts w:ascii="Arial" w:hAnsi="Arial"/>
                <w:b w:val="0"/>
                <w:color w:val="000000"/>
                <w:sz w:val="21"/>
              </w:rPr>
              <w:t>Each teacher chooses keep, revise, or stop.</w:t>
            </w:r>
          </w:p>
        </w:tc>
      </w:tr>
      <w:tr>
        <w:tc>
          <w:tcPr>
            <w:tcW w:type="dxa" w:w="1080"/>
            <w:vAlign w:val="top"/>
          </w:tcPr>
          <w:p>
            <w:r>
              <w:rPr>
                <w:rFonts w:ascii="Arial" w:hAnsi="Arial"/>
                <w:b w:val="0"/>
                <w:color w:val="000000"/>
                <w:sz w:val="21"/>
              </w:rPr>
              <w:t>28–30</w:t>
            </w:r>
          </w:p>
        </w:tc>
        <w:tc>
          <w:tcPr>
            <w:tcW w:type="dxa" w:w="2088"/>
            <w:vAlign w:val="top"/>
          </w:tcPr>
          <w:p>
            <w:r>
              <w:rPr>
                <w:rFonts w:ascii="Arial" w:hAnsi="Arial"/>
                <w:b w:val="0"/>
                <w:color w:val="000000"/>
                <w:sz w:val="21"/>
              </w:rPr>
              <w:t>Close</w:t>
            </w:r>
          </w:p>
        </w:tc>
        <w:tc>
          <w:tcPr>
            <w:tcW w:type="dxa" w:w="6192"/>
            <w:vAlign w:val="top"/>
          </w:tcPr>
          <w:p>
            <w:r>
              <w:rPr>
                <w:rFonts w:ascii="Arial" w:hAnsi="Arial"/>
                <w:b w:val="0"/>
                <w:color w:val="000000"/>
                <w:sz w:val="21"/>
              </w:rPr>
              <w:t>Leadership receives only cohort-level learning.</w:t>
            </w:r>
          </w:p>
        </w:tc>
      </w:tr>
    </w:tbl>
    <w:p>
      <w:pPr>
        <w:pStyle w:val="Heading1"/>
      </w:pPr>
      <w:r>
        <w:t>Nuanced questions and answers</w:t>
      </w:r>
    </w:p>
    <w:p>
      <w:pPr>
        <w:pStyle w:val="Heading2"/>
      </w:pPr>
      <w:r>
        <w:t>Can a teacher review specific student work if names are removed?</w:t>
      </w:r>
    </w:p>
    <w:p>
      <w:r>
        <w:t>Not in the introductory lab. Names are only one kind of identifier. Initials, key IDs, small groups, dates, needs, quotations, and surrounding context may still identify a student. A later engagement requires school review of the platform, purpose, fields, access, retention, reporting, and specialist responsibilities before student work is used.</w:t>
      </w:r>
    </w:p>
    <w:p>
      <w:pPr>
        <w:pStyle w:val="Heading2"/>
      </w:pPr>
      <w:r>
        <w:t>Can teachers track groups or learning trends?</w:t>
      </w:r>
    </w:p>
    <w:p>
      <w:r>
        <w:t>Not in this introductory lab. A later workflow may be possible only after the school defines the educational purpose, minimum necessary data, access, retention, reporting, and decision ownership. Small groups can create re-identification risk. Andrew can facilitate workflow design, but school privacy, legal, security, special-education, and instructional leaders make the applicable decisions.</w:t>
      </w:r>
    </w:p>
    <w:p>
      <w:pPr>
        <w:pStyle w:val="Heading2"/>
      </w:pPr>
      <w:r>
        <w:t>What if a separate key maps coded IDs back to students?</w:t>
      </w:r>
    </w:p>
    <w:p>
      <w:r>
        <w:t>A separate key can reduce casual exposure, but it does not automatically de-identify data. If someone can reasonably reconnect the code to a student, or surrounding details identify the student, treat it as identifiable. This requires a separate school-reviewed data workflow.</w:t>
      </w:r>
    </w:p>
    <w:p>
      <w:pPr>
        <w:pStyle w:val="Heading2"/>
      </w:pPr>
      <w:r>
        <w:t>Can the assistant grade, group, place, diagnose, discipline, or recommend accommodations?</w:t>
      </w:r>
    </w:p>
    <w:p>
      <w:r>
        <w:t>No. Those decisions remain with teachers and qualified school personnel. The introductory lab focuses on bounded drafting and organizing work that a teacher reviews.</w:t>
      </w:r>
    </w:p>
    <w:p>
      <w:pPr>
        <w:pStyle w:val="Heading2"/>
      </w:pPr>
      <w:r>
        <w:t>Can teachers use publisher curriculum or a colleague's materials?</w:t>
      </w:r>
    </w:p>
    <w:p>
      <w:r>
        <w:t>Only when the school and platform permit it. The lab does not assume licensed or third-party materials may be uploaded.</w:t>
      </w:r>
    </w:p>
    <w:p>
      <w:pPr>
        <w:pStyle w:val="Heading2"/>
      </w:pPr>
      <w:r>
        <w:t>What if a teacher has no AI account?</w:t>
      </w:r>
    </w:p>
    <w:p>
      <w:r>
        <w:t>They do not create a workaround or personal account. The school resolves access. A teacher may observe and draft on paper, but has not completed the product until the setup is saved and tested in the permitted account.</w:t>
      </w:r>
    </w:p>
    <w:p>
      <w:pPr>
        <w:pStyle w:val="Heading2"/>
      </w:pPr>
      <w:r>
        <w:t>Is this only for OpenAI products?</w:t>
      </w:r>
    </w:p>
    <w:p>
      <w:r>
        <w:t>No. The five-part method can be adapted to ChatGPT, Microsoft Copilot, Google Gemini, MagicSchool, or another school-selected product. Interfaces and controls differ, so Andrew prepares and tests one platform setup card for the actual account type before the pilot.</w:t>
      </w:r>
    </w:p>
    <w:p>
      <w:pPr>
        <w:pStyle w:val="Heading2"/>
      </w:pPr>
      <w:r>
        <w:t>Does the lab guarantee time savings?</w:t>
      </w:r>
    </w:p>
    <w:p>
      <w:r>
        <w:t>No. Teachers measure total time, including correction and review, for two weeks and choose keep, revise, or stop.</w:t>
      </w:r>
    </w:p>
    <w:p>
      <w:pPr>
        <w:pStyle w:val="Heading2"/>
      </w:pPr>
      <w:r>
        <w:t>Is this compliance or legal training?</w:t>
      </w:r>
    </w:p>
    <w:p>
      <w:r>
        <w:t>No. Andrew teaches a bounded workflow and safety routine. The school and qualified specialists retain policy, legal, privacy, security, procurement, labor, special-education, and other regulated decisions.</w:t>
      </w:r>
    </w:p>
    <w:p>
      <w:pPr>
        <w:pStyle w:val="Heading2"/>
      </w:pPr>
      <w:r>
        <w:t>What are Andrew's credentials?</w:t>
      </w:r>
    </w:p>
    <w:p>
      <w:r>
        <w:t>Andrew Wolverton is a former Indiana classroom educator, program builder, facilitator, and human-led systems designer. He helps teams turn confusing workflows into practical tools people can understand, review, and use.</w:t>
      </w:r>
    </w:p>
    <w:p>
      <w:pPr>
        <w:pStyle w:val="Heading1"/>
      </w:pPr>
      <w:r>
        <w:t>Completion check</w:t>
      </w:r>
    </w:p>
    <w:p>
      <w:pPr>
        <w:pStyle w:val="ListBullet"/>
      </w:pPr>
      <w:r>
        <w:t>Task is bounded and repeated</w:t>
      </w:r>
    </w:p>
    <w:p>
      <w:pPr>
        <w:pStyle w:val="ListBullet"/>
      </w:pPr>
      <w:r>
        <w:t>Tool and account match the school record</w:t>
      </w:r>
    </w:p>
    <w:p>
      <w:pPr>
        <w:pStyle w:val="ListBullet"/>
      </w:pPr>
      <w:r>
        <w:t>Five fields and source boundary are complete</w:t>
      </w:r>
    </w:p>
    <w:p>
      <w:pPr>
        <w:pStyle w:val="ListBullet"/>
      </w:pPr>
      <w:r>
        <w:t>Practice used no real people or records</w:t>
      </w:r>
    </w:p>
    <w:p>
      <w:pPr>
        <w:pStyle w:val="ListBullet"/>
      </w:pPr>
      <w:r>
        <w:t>One result was reviewed and revised</w:t>
      </w:r>
    </w:p>
    <w:p>
      <w:pPr>
        <w:pStyle w:val="ListBullet"/>
      </w:pPr>
      <w:r>
        <w:t>Setup is saved</w:t>
      </w:r>
    </w:p>
    <w:p>
      <w:pPr>
        <w:pStyle w:val="ListBullet"/>
      </w:pPr>
      <w:r>
        <w:t>Teacher understands the two-week decision</w:t>
      </w:r>
    </w:p>
    <w:p>
      <w:r>
        <w:t>Attendance alone is not completion.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Time Back Lab Facilitator Playbook</dc:title>
  <dc:subject>Teacher Time Back Lab</dc:subject>
  <dc:creator>Andrew Wolverton</dc:creator>
  <cp:keywords/>
  <dc:description>generated by python-docx</dc:description>
  <cp:lastModifiedBy/>
  <cp:revision>1</cp:revision>
  <dcterms:created xsi:type="dcterms:W3CDTF">2013-12-23T23:15:00Z</dcterms:created>
  <dcterms:modified xsi:type="dcterms:W3CDTF">2013-12-23T23:15:00Z</dcterms:modified>
  <cp:category/>
</cp:coreProperties>
</file>