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i w:val="0"/>
          <w:color w:val="000000"/>
          <w:sz w:val="52"/>
        </w:rPr>
        <w:t>Teacher Time Back Lab</w:t>
      </w:r>
    </w:p>
    <w:p>
      <w:pPr>
        <w:spacing w:before="0" w:after="280"/>
      </w:pPr>
      <w:r>
        <w:rPr>
          <w:rFonts w:ascii="Arial" w:hAnsi="Arial"/>
          <w:b w:val="0"/>
          <w:i w:val="0"/>
          <w:color w:val="555555"/>
          <w:sz w:val="26"/>
        </w:rPr>
        <w:t>Product Specification v1.0 | Source of truth for the offer, workshop, safety model, sales page, documents, and platform adapters</w:t>
      </w:r>
    </w:p>
    <w:p>
      <w:pPr>
        <w:spacing w:after="100"/>
      </w:pPr>
      <w:r>
        <w:rPr>
          <w:rFonts w:ascii="Arial" w:hAnsi="Arial"/>
          <w:b/>
          <w:i w:val="0"/>
          <w:color w:val="000000"/>
          <w:sz w:val="22"/>
        </w:rPr>
        <w:t xml:space="preserve">Prepared for: </w:t>
      </w:r>
      <w:r>
        <w:rPr>
          <w:rFonts w:ascii="Arial" w:hAnsi="Arial"/>
          <w:b w:val="0"/>
          <w:i w:val="0"/>
          <w:color w:val="000000"/>
          <w:sz w:val="22"/>
        </w:rPr>
        <w:t>Andrew Wolverton</w:t>
      </w:r>
    </w:p>
    <w:p>
      <w:pPr>
        <w:spacing w:after="100"/>
      </w:pPr>
      <w:r>
        <w:rPr>
          <w:rFonts w:ascii="Arial" w:hAnsi="Arial"/>
          <w:b/>
          <w:i w:val="0"/>
          <w:color w:val="000000"/>
          <w:sz w:val="22"/>
        </w:rPr>
        <w:t xml:space="preserve">Date: </w:t>
      </w:r>
      <w:r>
        <w:rPr>
          <w:rFonts w:ascii="Arial" w:hAnsi="Arial"/>
          <w:b w:val="0"/>
          <w:i w:val="0"/>
          <w:color w:val="000000"/>
          <w:sz w:val="22"/>
        </w:rPr>
        <w:t>September 1, 2026</w:t>
      </w:r>
    </w:p>
    <w:p>
      <w:pPr>
        <w:spacing w:after="100"/>
      </w:pPr>
      <w:r>
        <w:rPr>
          <w:rFonts w:ascii="Arial" w:hAnsi="Arial"/>
          <w:b/>
          <w:i w:val="0"/>
          <w:color w:val="000000"/>
          <w:sz w:val="22"/>
        </w:rPr>
        <w:t xml:space="preserve">Status: </w:t>
      </w:r>
      <w:r>
        <w:rPr>
          <w:rFonts w:ascii="Arial" w:hAnsi="Arial"/>
          <w:b w:val="0"/>
          <w:i w:val="0"/>
          <w:color w:val="000000"/>
          <w:sz w:val="22"/>
        </w:rPr>
        <w:t>Decision-complete specification awaiting Andrew's approval to rebuild</w:t>
      </w:r>
    </w:p>
    <w:p>
      <w:pPr>
        <w:spacing w:after="100"/>
      </w:pPr>
      <w:r>
        <w:rPr>
          <w:rFonts w:ascii="Arial" w:hAnsi="Arial"/>
          <w:b/>
          <w:i w:val="0"/>
          <w:color w:val="000000"/>
          <w:sz w:val="22"/>
        </w:rPr>
        <w:t xml:space="preserve">Supersedes: </w:t>
      </w:r>
      <w:r>
        <w:rPr>
          <w:rFonts w:ascii="Arial" w:hAnsi="Arial"/>
          <w:b w:val="0"/>
          <w:i w:val="0"/>
          <w:color w:val="000000"/>
          <w:sz w:val="22"/>
        </w:rPr>
        <w:t>Earlier offer, resource-hub, PDF, public-agent, public-skill, and page decisions wherever they conflict with this document</w:t>
      </w:r>
    </w:p>
    <w:p>
      <w:pPr>
        <w:pStyle w:val="Heading1"/>
      </w:pPr>
      <w:r>
        <w:t>Executive decision</w:t>
      </w:r>
    </w:p>
    <w:p>
      <w:pPr>
        <w:keepLines/>
        <w:spacing w:before="160" w:after="240"/>
        <w:ind w:left="504" w:right="504"/>
      </w:pPr>
      <w:r>
        <w:rPr>
          <w:rFonts w:ascii="Arial" w:hAnsi="Arial"/>
          <w:b w:val="0"/>
          <w:i/>
          <w:color w:val="000000"/>
          <w:sz w:val="24"/>
        </w:rPr>
        <w:t>Give teachers back time. In one guided 90-minute lab, each teacher builds and tests one reusable AI assistant for one recurring task, using the AI tool and account the school already allows. No coding, no real student information, and no previous AI experience are required.</w:t>
      </w:r>
    </w:p>
    <w:p>
      <w:pPr>
        <w:keepLines w:val="0"/>
      </w:pPr>
      <w:r>
        <w:rPr>
          <w:rFonts w:ascii="Arial" w:hAnsi="Arial"/>
          <w:b w:val="0"/>
          <w:i w:val="0"/>
          <w:color w:val="000000"/>
          <w:sz w:val="22"/>
        </w:rPr>
        <w:t>The product is named Teacher Time Back Lab. It is a school professional-learning pilot, not a public prompt library, a compliance certification, an AI platform, or a downloadable Codex product.</w:t>
      </w:r>
    </w:p>
    <w:p>
      <w:pPr>
        <w:keepLines w:val="0"/>
      </w:pPr>
      <w:r>
        <w:rPr>
          <w:rFonts w:ascii="Arial" w:hAnsi="Arial"/>
          <w:b w:val="0"/>
          <w:i w:val="0"/>
          <w:color w:val="000000"/>
          <w:sz w:val="22"/>
        </w:rPr>
        <w:t>The public sales experience must show one finished teacher workflow before explaining the method. The buyer must understand the value, preparation, safety boundary, deliverables, price, and next step without downloading anything.</w:t>
      </w:r>
    </w:p>
    <w:p>
      <w:pPr>
        <w:pStyle w:val="Heading2"/>
      </w:pPr>
      <w:r>
        <w:t>Non-negotiable decisions</w:t>
      </w:r>
    </w:p>
    <w:p>
      <w:pPr>
        <w:pStyle w:val="ListBullet"/>
        <w:ind w:left="720" w:hanging="360"/>
      </w:pPr>
      <w:r>
        <w:rPr>
          <w:rFonts w:ascii="Arial" w:hAnsi="Arial"/>
          <w:b w:val="0"/>
          <w:i w:val="0"/>
          <w:color w:val="000000"/>
          <w:sz w:val="22"/>
        </w:rPr>
        <w:t>Time back is the primary promise. AI is the mechanism, not the headline.</w:t>
      </w:r>
    </w:p>
    <w:p>
      <w:pPr>
        <w:pStyle w:val="ListBullet"/>
        <w:ind w:left="720" w:hanging="360"/>
      </w:pPr>
      <w:r>
        <w:rPr>
          <w:rFonts w:ascii="Arial" w:hAnsi="Arial"/>
          <w:b w:val="0"/>
          <w:i w:val="0"/>
          <w:color w:val="000000"/>
          <w:sz w:val="22"/>
        </w:rPr>
        <w:t>The beginner experience starts with a finished example, not terminology or policy language.</w:t>
      </w:r>
    </w:p>
    <w:p>
      <w:pPr>
        <w:pStyle w:val="ListBullet"/>
        <w:ind w:left="720" w:hanging="360"/>
      </w:pPr>
      <w:r>
        <w:rPr>
          <w:rFonts w:ascii="Arial" w:hAnsi="Arial"/>
          <w:b w:val="0"/>
          <w:i w:val="0"/>
          <w:color w:val="000000"/>
          <w:sz w:val="22"/>
        </w:rPr>
        <w:t>The lab uses no real student information, student work, family records, personnel records, or confidential school records.</w:t>
      </w:r>
    </w:p>
    <w:p>
      <w:pPr>
        <w:pStyle w:val="ListBullet"/>
        <w:ind w:left="720" w:hanging="360"/>
      </w:pPr>
      <w:r>
        <w:rPr>
          <w:rFonts w:ascii="Arial" w:hAnsi="Arial"/>
          <w:b w:val="0"/>
          <w:i w:val="0"/>
          <w:color w:val="000000"/>
          <w:sz w:val="22"/>
        </w:rPr>
        <w:t>The school selects and approves the AI tool and account before the teacher lab is booked.</w:t>
      </w:r>
    </w:p>
    <w:p>
      <w:pPr>
        <w:pStyle w:val="ListBullet"/>
        <w:ind w:left="720" w:hanging="360"/>
      </w:pPr>
      <w:r>
        <w:rPr>
          <w:rFonts w:ascii="Arial" w:hAnsi="Arial"/>
          <w:b w:val="0"/>
          <w:i w:val="0"/>
          <w:color w:val="000000"/>
          <w:sz w:val="22"/>
        </w:rPr>
        <w:t>Teachers leave with one tested reusable assistant setup for one recurring task.</w:t>
      </w:r>
    </w:p>
    <w:p>
      <w:pPr>
        <w:pStyle w:val="ListBullet"/>
        <w:ind w:left="720" w:hanging="360"/>
      </w:pPr>
      <w:r>
        <w:rPr>
          <w:rFonts w:ascii="Arial" w:hAnsi="Arial"/>
          <w:b w:val="0"/>
          <w:i w:val="0"/>
          <w:color w:val="000000"/>
          <w:sz w:val="22"/>
        </w:rPr>
        <w:t>The assistant drafts or organizes. The teacher reviews, decides, and remains responsible for final use.</w:t>
      </w:r>
    </w:p>
    <w:p>
      <w:pPr>
        <w:pStyle w:val="ListBullet"/>
        <w:ind w:left="720" w:hanging="360"/>
      </w:pPr>
      <w:r>
        <w:rPr>
          <w:rFonts w:ascii="Arial" w:hAnsi="Arial"/>
          <w:b w:val="0"/>
          <w:i w:val="0"/>
          <w:color w:val="000000"/>
          <w:sz w:val="22"/>
        </w:rPr>
        <w:t>The public page shows proof but does not publish the complete curriculum or technical packages.</w:t>
      </w:r>
    </w:p>
    <w:p>
      <w:pPr>
        <w:pStyle w:val="ListBullet"/>
        <w:ind w:left="720" w:hanging="360"/>
      </w:pPr>
      <w:r>
        <w:rPr>
          <w:rFonts w:ascii="Arial" w:hAnsi="Arial"/>
          <w:b w:val="0"/>
          <w:i w:val="0"/>
          <w:color w:val="000000"/>
          <w:sz w:val="22"/>
        </w:rPr>
        <w:t>Codex skills and agent files are not teacher-facing products and will not appear in the primary sales journey.</w:t>
      </w:r>
    </w:p>
    <w:p>
      <w:pPr>
        <w:pStyle w:val="ListBullet"/>
        <w:ind w:left="720" w:hanging="360"/>
      </w:pPr>
      <w:r>
        <w:rPr>
          <w:rFonts w:ascii="Arial" w:hAnsi="Arial"/>
          <w:b w:val="0"/>
          <w:i w:val="0"/>
          <w:color w:val="000000"/>
          <w:sz w:val="22"/>
        </w:rPr>
        <w:t>Current public resources and PDFs are treated as prototypes until rebuilt against this specification.</w:t>
      </w:r>
    </w:p>
    <w:p>
      <w:pPr>
        <w:pStyle w:val="ListBullet"/>
        <w:ind w:left="720" w:hanging="360"/>
      </w:pPr>
      <w:r>
        <w:rPr>
          <w:rFonts w:ascii="Arial" w:hAnsi="Arial"/>
          <w:b w:val="0"/>
          <w:i w:val="0"/>
          <w:color w:val="000000"/>
          <w:sz w:val="22"/>
        </w:rPr>
        <w:t>No outreach begins until the page, demonstration, participant materials, and usability tests meet the acceptance gates in this document.</w:t>
      </w:r>
    </w:p>
    <w:p>
      <w:pPr>
        <w:pStyle w:val="Heading2"/>
      </w:pPr>
      <w:r>
        <w:t>How to use this specification</w:t>
      </w:r>
    </w:p>
    <w:p>
      <w:pPr>
        <w:keepLines w:val="0"/>
      </w:pPr>
      <w:r>
        <w:rPr>
          <w:rFonts w:ascii="Arial" w:hAnsi="Arial"/>
          <w:b w:val="0"/>
          <w:i w:val="0"/>
          <w:color w:val="000000"/>
          <w:sz w:val="22"/>
        </w:rPr>
        <w:t>This document controls product, copy, design, facilitation, distribution, and quality decisions. Website copy, PDFs, slides, platform guides, outreach, and evaluation materials must trace back to it. A local school policy or platform requirement may configure a pilot, but it may not quietly change the core promise or safety boundary.</w:t>
      </w:r>
    </w:p>
    <w:p>
      <w:pPr>
        <w:pStyle w:val="Heading1"/>
      </w:pPr>
      <w:r>
        <w:t>1. Product definition</w:t>
      </w:r>
    </w:p>
    <w:p>
      <w:pPr>
        <w:pStyle w:val="Heading2"/>
      </w:pPr>
      <w:r>
        <w:t>1.1 The problem</w:t>
      </w:r>
    </w:p>
    <w:p>
      <w:pPr>
        <w:keepLines w:val="0"/>
      </w:pPr>
      <w:r>
        <w:rPr>
          <w:rFonts w:ascii="Arial" w:hAnsi="Arial"/>
          <w:b w:val="0"/>
          <w:i w:val="0"/>
          <w:color w:val="000000"/>
          <w:sz w:val="22"/>
        </w:rPr>
        <w:t>Teachers repeatedly rebuild useful work: lesson structures, directions, agendas, routine updates, planning documents, and other drafts. AI may reduce that repetition, but generic AI training can add vocabulary, setup work, uncertainty, and privacy anxiety. The product must therefore create relief during the session, not promise relief after a long learning curve.</w:t>
      </w:r>
    </w:p>
    <w:p>
      <w:pPr>
        <w:pStyle w:val="Heading2"/>
      </w:pPr>
      <w:r>
        <w:t>1.2 Job to be done</w:t>
      </w:r>
    </w:p>
    <w:p>
      <w:pPr>
        <w:keepLines w:val="0"/>
      </w:pPr>
      <w:r>
        <w:rPr>
          <w:rFonts w:ascii="Arial" w:hAnsi="Arial"/>
          <w:b w:val="0"/>
          <w:i w:val="0"/>
          <w:color w:val="000000"/>
          <w:sz w:val="22"/>
        </w:rPr>
        <w:t>When a school wants teachers to benefit from AI without creating a broad, risky, or intimidating initiative, it hires the Teacher Time Back Lab to help each teacher turn one repeated task into one reusable, reviewable workflow inside the school's existing AI tool.</w:t>
      </w:r>
    </w:p>
    <w:p>
      <w:pPr>
        <w:pStyle w:val="Heading2"/>
      </w:pPr>
      <w:r>
        <w:t>1.3 Product promise</w:t>
      </w:r>
    </w:p>
    <w:p>
      <w:pPr>
        <w:keepLines/>
        <w:spacing w:before="160" w:after="240"/>
        <w:ind w:left="504" w:right="504"/>
      </w:pPr>
      <w:r>
        <w:rPr>
          <w:rFonts w:ascii="Arial" w:hAnsi="Arial"/>
          <w:b w:val="0"/>
          <w:i/>
          <w:color w:val="000000"/>
          <w:sz w:val="24"/>
        </w:rPr>
        <w:t>Bring one task you keep doing. Leave with one assistant you can use again.</w:t>
      </w:r>
    </w:p>
    <w:p>
      <w:pPr>
        <w:keepLines w:val="0"/>
      </w:pPr>
      <w:r>
        <w:rPr>
          <w:rFonts w:ascii="Arial" w:hAnsi="Arial"/>
          <w:b w:val="0"/>
          <w:i w:val="0"/>
          <w:color w:val="000000"/>
          <w:sz w:val="22"/>
        </w:rPr>
        <w:t>The promise is not a fixed number of hours saved. The promise is a completed, tested setup and a two-week method for deciding whether it is genuinely useful.</w:t>
      </w:r>
    </w:p>
    <w:p>
      <w:pPr>
        <w:pStyle w:val="Heading2"/>
      </w:pPr>
      <w:r>
        <w:t>1.4 What the product is</w:t>
      </w:r>
    </w:p>
    <w:p>
      <w:pPr>
        <w:pStyle w:val="ListBullet"/>
        <w:ind w:left="720" w:hanging="360"/>
      </w:pPr>
      <w:r>
        <w:rPr>
          <w:rFonts w:ascii="Arial" w:hAnsi="Arial"/>
          <w:b w:val="0"/>
          <w:i w:val="0"/>
          <w:color w:val="000000"/>
          <w:sz w:val="22"/>
        </w:rPr>
        <w:t>A 45-minute leadership readiness and setup conversation.</w:t>
      </w:r>
    </w:p>
    <w:p>
      <w:pPr>
        <w:pStyle w:val="ListBullet"/>
        <w:ind w:left="720" w:hanging="360"/>
      </w:pPr>
      <w:r>
        <w:rPr>
          <w:rFonts w:ascii="Arial" w:hAnsi="Arial"/>
          <w:b w:val="0"/>
          <w:i w:val="0"/>
          <w:color w:val="000000"/>
          <w:sz w:val="22"/>
        </w:rPr>
        <w:t>A 90-minute beginner-friendly teacher build lab.</w:t>
      </w:r>
    </w:p>
    <w:p>
      <w:pPr>
        <w:pStyle w:val="ListBullet"/>
        <w:ind w:left="720" w:hanging="360"/>
      </w:pPr>
      <w:r>
        <w:rPr>
          <w:rFonts w:ascii="Arial" w:hAnsi="Arial"/>
          <w:b w:val="0"/>
          <w:i w:val="0"/>
          <w:color w:val="000000"/>
          <w:sz w:val="22"/>
        </w:rPr>
        <w:t>A 30-minute follow-up two weeks later.</w:t>
      </w:r>
    </w:p>
    <w:p>
      <w:pPr>
        <w:pStyle w:val="ListBullet"/>
        <w:ind w:left="720" w:hanging="360"/>
      </w:pPr>
      <w:r>
        <w:rPr>
          <w:rFonts w:ascii="Arial" w:hAnsi="Arial"/>
          <w:b w:val="0"/>
          <w:i w:val="0"/>
          <w:color w:val="000000"/>
          <w:sz w:val="22"/>
        </w:rPr>
        <w:t>A bounded first use of the school's selected AI tool.</w:t>
      </w:r>
    </w:p>
    <w:p>
      <w:pPr>
        <w:pStyle w:val="ListBullet"/>
        <w:ind w:left="720" w:hanging="360"/>
      </w:pPr>
      <w:r>
        <w:rPr>
          <w:rFonts w:ascii="Arial" w:hAnsi="Arial"/>
          <w:b w:val="0"/>
          <w:i w:val="0"/>
          <w:color w:val="000000"/>
          <w:sz w:val="22"/>
        </w:rPr>
        <w:t>A practical learning experience built around one real teacher workload, tested with practice copy that contains no real people or records.</w:t>
      </w:r>
    </w:p>
    <w:p>
      <w:pPr>
        <w:pStyle w:val="Heading2"/>
      </w:pPr>
      <w:r>
        <w:t>1.5 What the product is not</w:t>
      </w:r>
    </w:p>
    <w:p>
      <w:pPr>
        <w:pStyle w:val="ListBullet"/>
        <w:ind w:left="720" w:hanging="360"/>
      </w:pPr>
      <w:r>
        <w:rPr>
          <w:rFonts w:ascii="Arial" w:hAnsi="Arial"/>
          <w:b w:val="0"/>
          <w:i w:val="0"/>
          <w:color w:val="000000"/>
          <w:sz w:val="22"/>
        </w:rPr>
        <w:t>A keynote, AI overview, prompt dump, software sale, or technology certification.</w:t>
      </w:r>
    </w:p>
    <w:p>
      <w:pPr>
        <w:pStyle w:val="ListBullet"/>
        <w:ind w:left="720" w:hanging="360"/>
      </w:pPr>
      <w:r>
        <w:rPr>
          <w:rFonts w:ascii="Arial" w:hAnsi="Arial"/>
          <w:b w:val="0"/>
          <w:i w:val="0"/>
          <w:color w:val="000000"/>
          <w:sz w:val="22"/>
        </w:rPr>
        <w:t>Legal, privacy, cybersecurity, procurement, or compliance advice.</w:t>
      </w:r>
    </w:p>
    <w:p>
      <w:pPr>
        <w:pStyle w:val="ListBullet"/>
        <w:ind w:left="720" w:hanging="360"/>
      </w:pPr>
      <w:r>
        <w:rPr>
          <w:rFonts w:ascii="Arial" w:hAnsi="Arial"/>
          <w:b w:val="0"/>
          <w:i w:val="0"/>
          <w:color w:val="000000"/>
          <w:sz w:val="22"/>
        </w:rPr>
        <w:t>A system for grading, grouping, placement, discipline, accommodations, special education, counseling, or other student-level decisions.</w:t>
      </w:r>
    </w:p>
    <w:p>
      <w:pPr>
        <w:pStyle w:val="ListBullet"/>
        <w:ind w:left="720" w:hanging="360"/>
      </w:pPr>
      <w:r>
        <w:rPr>
          <w:rFonts w:ascii="Arial" w:hAnsi="Arial"/>
          <w:b w:val="0"/>
          <w:i w:val="0"/>
          <w:color w:val="000000"/>
          <w:sz w:val="22"/>
        </w:rPr>
        <w:t>A place to upload student work or confidential records.</w:t>
      </w:r>
    </w:p>
    <w:p>
      <w:pPr>
        <w:pStyle w:val="ListBullet"/>
        <w:ind w:left="720" w:hanging="360"/>
      </w:pPr>
      <w:r>
        <w:rPr>
          <w:rFonts w:ascii="Arial" w:hAnsi="Arial"/>
          <w:b w:val="0"/>
          <w:i w:val="0"/>
          <w:color w:val="000000"/>
          <w:sz w:val="22"/>
        </w:rPr>
        <w:t>A guarantee that every teacher or task will save time.</w:t>
      </w:r>
    </w:p>
    <w:p>
      <w:pPr>
        <w:pStyle w:val="Heading1"/>
      </w:pPr>
      <w:r>
        <w:t>2. Audience and responsibility</w:t>
      </w:r>
    </w:p>
    <w:p>
      <w:pPr>
        <w:pStyle w:val="Heading2"/>
      </w:pPr>
      <w:r>
        <w:t>2.1 Primary buyer</w:t>
      </w:r>
    </w:p>
    <w:p>
      <w:pPr>
        <w:keepLines w:val="0"/>
      </w:pPr>
      <w:r>
        <w:rPr>
          <w:rFonts w:ascii="Arial" w:hAnsi="Arial"/>
          <w:b w:val="0"/>
          <w:i w:val="0"/>
          <w:color w:val="000000"/>
          <w:sz w:val="22"/>
        </w:rPr>
        <w:t>A principal, assistant principal, district or charter professional-learning leader, instructional technology leader, or responsible-AI lead who can approve professional learning and identify the school's permitted AI tool and account.</w:t>
      </w:r>
    </w:p>
    <w:p>
      <w:pPr>
        <w:pStyle w:val="Heading2"/>
      </w:pPr>
      <w:r>
        <w:t>2.2 Participant</w:t>
      </w:r>
    </w:p>
    <w:p>
      <w:pPr>
        <w:keepLines w:val="0"/>
      </w:pPr>
      <w:r>
        <w:rPr>
          <w:rFonts w:ascii="Arial" w:hAnsi="Arial"/>
          <w:b w:val="0"/>
          <w:i w:val="0"/>
          <w:color w:val="000000"/>
          <w:sz w:val="22"/>
        </w:rPr>
        <w:t>A K-12 educator who performs recurring planning, communication, organization, or drafting work. The default participant is curious, skeptical, intimidated, or inexperienced with AI. The product may also serve experienced users, but the beginner path controls the language and pacing.</w:t>
      </w:r>
    </w:p>
    <w:p>
      <w:pPr>
        <w:pStyle w:val="Heading2"/>
      </w:pPr>
      <w:r>
        <w:t>2.3 Andrew's role</w:t>
      </w:r>
    </w:p>
    <w:p>
      <w:pPr>
        <w:pStyle w:val="ListBullet"/>
        <w:ind w:left="720" w:hanging="360"/>
      </w:pPr>
      <w:r>
        <w:rPr>
          <w:rFonts w:ascii="Arial" w:hAnsi="Arial"/>
          <w:b w:val="0"/>
          <w:i w:val="0"/>
          <w:color w:val="000000"/>
          <w:sz w:val="22"/>
        </w:rPr>
        <w:t>Teach the build method in plain language.</w:t>
      </w:r>
    </w:p>
    <w:p>
      <w:pPr>
        <w:pStyle w:val="ListBullet"/>
        <w:ind w:left="720" w:hanging="360"/>
      </w:pPr>
      <w:r>
        <w:rPr>
          <w:rFonts w:ascii="Arial" w:hAnsi="Arial"/>
          <w:b w:val="0"/>
          <w:i w:val="0"/>
          <w:color w:val="000000"/>
          <w:sz w:val="22"/>
        </w:rPr>
        <w:t>Demonstrate a complete teacher workflow.</w:t>
      </w:r>
    </w:p>
    <w:p>
      <w:pPr>
        <w:pStyle w:val="ListBullet"/>
        <w:ind w:left="720" w:hanging="360"/>
      </w:pPr>
      <w:r>
        <w:rPr>
          <w:rFonts w:ascii="Arial" w:hAnsi="Arial"/>
          <w:b w:val="0"/>
          <w:i w:val="0"/>
          <w:color w:val="000000"/>
          <w:sz w:val="22"/>
        </w:rPr>
        <w:t>Help participants select a bounded first task.</w:t>
      </w:r>
    </w:p>
    <w:p>
      <w:pPr>
        <w:pStyle w:val="ListBullet"/>
        <w:ind w:left="720" w:hanging="360"/>
      </w:pPr>
      <w:r>
        <w:rPr>
          <w:rFonts w:ascii="Arial" w:hAnsi="Arial"/>
          <w:b w:val="0"/>
          <w:i w:val="0"/>
          <w:color w:val="000000"/>
          <w:sz w:val="22"/>
        </w:rPr>
        <w:t>Teach the no-real-student-information rule and the human review routine.</w:t>
      </w:r>
    </w:p>
    <w:p>
      <w:pPr>
        <w:pStyle w:val="ListBullet"/>
        <w:ind w:left="720" w:hanging="360"/>
      </w:pPr>
      <w:r>
        <w:rPr>
          <w:rFonts w:ascii="Arial" w:hAnsi="Arial"/>
          <w:b w:val="0"/>
          <w:i w:val="0"/>
          <w:color w:val="000000"/>
          <w:sz w:val="22"/>
        </w:rPr>
        <w:t>Help teachers build, test, save, and measure one assistant.</w:t>
      </w:r>
    </w:p>
    <w:p>
      <w:pPr>
        <w:pStyle w:val="ListBullet"/>
        <w:ind w:left="720" w:hanging="360"/>
      </w:pPr>
      <w:r>
        <w:rPr>
          <w:rFonts w:ascii="Arial" w:hAnsi="Arial"/>
          <w:b w:val="0"/>
          <w:i w:val="0"/>
          <w:color w:val="000000"/>
          <w:sz w:val="22"/>
        </w:rPr>
        <w:t>Give leadership a cohort-level learning summary, not an employee evaluation.</w:t>
      </w:r>
    </w:p>
    <w:p>
      <w:pPr>
        <w:keepLines w:val="0"/>
      </w:pPr>
      <w:r>
        <w:rPr>
          <w:rFonts w:ascii="Arial" w:hAnsi="Arial"/>
          <w:b w:val="0"/>
          <w:i w:val="0"/>
          <w:color w:val="000000"/>
          <w:sz w:val="22"/>
        </w:rPr>
        <w:t>Credential language: Andrew Wolverton is a former Indiana classroom educator, program builder, and human-led systems designer. He helps teams turn confusing workflows into practical tools people can use. The page links to Andrew's About section and CV. It does not imply current New York State teacher licensure.</w:t>
      </w:r>
    </w:p>
    <w:p>
      <w:pPr>
        <w:pStyle w:val="Heading2"/>
      </w:pPr>
      <w:r>
        <w:t>2.4 Responsibilities retained by others</w:t>
      </w:r>
    </w:p>
    <w:p>
      <w:pPr>
        <w:pStyle w:val="ListBullet"/>
        <w:ind w:left="720" w:hanging="360"/>
      </w:pPr>
      <w:r>
        <w:rPr>
          <w:rFonts w:ascii="Arial" w:hAnsi="Arial"/>
          <w:b w:val="0"/>
          <w:i w:val="0"/>
          <w:color w:val="000000"/>
          <w:sz w:val="22"/>
        </w:rPr>
        <w:t>School leadership selects the AI tool, account, local rules, participant cohort, and escalation contact.</w:t>
      </w:r>
    </w:p>
    <w:p>
      <w:pPr>
        <w:pStyle w:val="ListBullet"/>
        <w:ind w:left="720" w:hanging="360"/>
      </w:pPr>
      <w:r>
        <w:rPr>
          <w:rFonts w:ascii="Arial" w:hAnsi="Arial"/>
          <w:b w:val="0"/>
          <w:i w:val="0"/>
          <w:color w:val="000000"/>
          <w:sz w:val="22"/>
        </w:rPr>
        <w:t>Privacy, legal, cybersecurity, procurement, special-education, labor, and other qualified personnel retain decisions in their domains.</w:t>
      </w:r>
    </w:p>
    <w:p>
      <w:pPr>
        <w:pStyle w:val="ListBullet"/>
        <w:ind w:left="720" w:hanging="360"/>
      </w:pPr>
      <w:r>
        <w:rPr>
          <w:rFonts w:ascii="Arial" w:hAnsi="Arial"/>
          <w:b w:val="0"/>
          <w:i w:val="0"/>
          <w:color w:val="000000"/>
          <w:sz w:val="22"/>
        </w:rPr>
        <w:t>Teachers retain instructional judgment, factual verification, appropriateness, communication, and final-use decisions.</w:t>
      </w:r>
    </w:p>
    <w:p>
      <w:pPr>
        <w:pStyle w:val="ListBullet"/>
        <w:ind w:left="720" w:hanging="360"/>
      </w:pPr>
      <w:r>
        <w:rPr>
          <w:rFonts w:ascii="Arial" w:hAnsi="Arial"/>
          <w:b w:val="0"/>
          <w:i w:val="0"/>
          <w:color w:val="000000"/>
          <w:sz w:val="22"/>
        </w:rPr>
        <w:t>The platform provider remains responsible for its product behavior, contractual terms, account controls, and data practices.</w:t>
      </w:r>
    </w:p>
    <w:p>
      <w:pPr>
        <w:pStyle w:val="Heading1"/>
      </w:pPr>
      <w:r>
        <w:t>3. Plain-language system</w:t>
      </w:r>
    </w:p>
    <w:p>
      <w:pPr>
        <w:pStyle w:val="Heading2"/>
      </w:pPr>
      <w:r>
        <w:t>3.1 Required definitions</w:t>
      </w:r>
    </w:p>
    <w:p>
      <w:pPr>
        <w:spacing w:after="100"/>
      </w:pPr>
      <w:r>
        <w:rPr>
          <w:rFonts w:ascii="Arial" w:hAnsi="Arial"/>
          <w:b/>
          <w:i w:val="0"/>
          <w:color w:val="000000"/>
          <w:sz w:val="22"/>
        </w:rPr>
        <w:t xml:space="preserve">Assistant: </w:t>
      </w:r>
      <w:r>
        <w:rPr>
          <w:rFonts w:ascii="Arial" w:hAnsi="Arial"/>
          <w:b w:val="0"/>
          <w:i w:val="0"/>
          <w:color w:val="000000"/>
          <w:sz w:val="22"/>
        </w:rPr>
        <w:t>A reusable set of instructions saved in the AI tool and account the school allows. It helps produce a first draft or organized result for one repeated task.</w:t>
      </w:r>
    </w:p>
    <w:p>
      <w:pPr>
        <w:spacing w:after="100"/>
      </w:pPr>
      <w:r>
        <w:rPr>
          <w:rFonts w:ascii="Arial" w:hAnsi="Arial"/>
          <w:b/>
          <w:i w:val="0"/>
          <w:color w:val="000000"/>
          <w:sz w:val="22"/>
        </w:rPr>
        <w:t xml:space="preserve">AI tool and account your school allows: </w:t>
      </w:r>
      <w:r>
        <w:rPr>
          <w:rFonts w:ascii="Arial" w:hAnsi="Arial"/>
          <w:b w:val="0"/>
          <w:i w:val="0"/>
          <w:color w:val="000000"/>
          <w:sz w:val="22"/>
        </w:rPr>
        <w:t>The exact product, login type, and configuration leadership has selected for staff use.</w:t>
      </w:r>
    </w:p>
    <w:p>
      <w:pPr>
        <w:spacing w:after="100"/>
      </w:pPr>
      <w:r>
        <w:rPr>
          <w:rFonts w:ascii="Arial" w:hAnsi="Arial"/>
          <w:b/>
          <w:i w:val="0"/>
          <w:color w:val="000000"/>
          <w:sz w:val="22"/>
        </w:rPr>
        <w:t xml:space="preserve">Practice copy: </w:t>
      </w:r>
      <w:r>
        <w:rPr>
          <w:rFonts w:ascii="Arial" w:hAnsi="Arial"/>
          <w:b w:val="0"/>
          <w:i w:val="0"/>
          <w:color w:val="000000"/>
          <w:sz w:val="22"/>
        </w:rPr>
        <w:t>A ready-made example that resembles teacher work but contains no real student, family, staff, or school records.</w:t>
      </w:r>
    </w:p>
    <w:p>
      <w:pPr>
        <w:spacing w:after="100"/>
      </w:pPr>
      <w:r>
        <w:rPr>
          <w:rFonts w:ascii="Arial" w:hAnsi="Arial"/>
          <w:b/>
          <w:i w:val="0"/>
          <w:color w:val="000000"/>
          <w:sz w:val="22"/>
        </w:rPr>
        <w:t xml:space="preserve">Materials for this task: </w:t>
      </w:r>
      <w:r>
        <w:rPr>
          <w:rFonts w:ascii="Arial" w:hAnsi="Arial"/>
          <w:b w:val="0"/>
          <w:i w:val="0"/>
          <w:color w:val="000000"/>
          <w:sz w:val="22"/>
        </w:rPr>
        <w:t>The exact blank format, rough notes, public standard, or other permitted material the teacher chooses to provide for this one job.</w:t>
      </w:r>
    </w:p>
    <w:p>
      <w:pPr>
        <w:spacing w:after="100"/>
      </w:pPr>
      <w:r>
        <w:rPr>
          <w:rFonts w:ascii="Arial" w:hAnsi="Arial"/>
          <w:b/>
          <w:i w:val="0"/>
          <w:color w:val="000000"/>
          <w:sz w:val="22"/>
        </w:rPr>
        <w:t xml:space="preserve">Human review: </w:t>
      </w:r>
      <w:r>
        <w:rPr>
          <w:rFonts w:ascii="Arial" w:hAnsi="Arial"/>
          <w:b w:val="0"/>
          <w:i w:val="0"/>
          <w:color w:val="000000"/>
          <w:sz w:val="22"/>
        </w:rPr>
        <w:t>The teacher checks facts, bias, appropriateness, alignment, missing information, and final wording before using the result.</w:t>
      </w:r>
    </w:p>
    <w:p>
      <w:pPr>
        <w:pStyle w:val="Heading2"/>
      </w:pPr>
      <w:r>
        <w:t>3.2 Phrases that must not appear without explanation</w:t>
      </w:r>
    </w:p>
    <w:p>
      <w:pPr>
        <w:pStyle w:val="ListBullet"/>
        <w:ind w:left="720" w:hanging="360"/>
      </w:pPr>
      <w:r>
        <w:rPr>
          <w:rFonts w:ascii="Arial" w:hAnsi="Arial"/>
          <w:b w:val="0"/>
          <w:i w:val="0"/>
          <w:color w:val="000000"/>
          <w:sz w:val="22"/>
        </w:rPr>
        <w:t>Replace "teacher-owned" with a concrete example such as "a blank format or rough notes you created and are allowed to reuse."</w:t>
      </w:r>
    </w:p>
    <w:p>
      <w:pPr>
        <w:pStyle w:val="ListBullet"/>
        <w:ind w:left="720" w:hanging="360"/>
      </w:pPr>
      <w:r>
        <w:rPr>
          <w:rFonts w:ascii="Arial" w:hAnsi="Arial"/>
          <w:b w:val="0"/>
          <w:i w:val="0"/>
          <w:color w:val="000000"/>
          <w:sz w:val="22"/>
        </w:rPr>
        <w:t>Replace "approved lesson" with "a lesson plan your school permits you to adapt."</w:t>
      </w:r>
    </w:p>
    <w:p>
      <w:pPr>
        <w:pStyle w:val="ListBullet"/>
        <w:ind w:left="720" w:hanging="360"/>
      </w:pPr>
      <w:r>
        <w:rPr>
          <w:rFonts w:ascii="Arial" w:hAnsi="Arial"/>
          <w:b w:val="0"/>
          <w:i w:val="0"/>
          <w:color w:val="000000"/>
          <w:sz w:val="22"/>
        </w:rPr>
        <w:t>Replace "approved sources" with "the specific materials you choose for this task."</w:t>
      </w:r>
    </w:p>
    <w:p>
      <w:pPr>
        <w:pStyle w:val="ListBullet"/>
        <w:ind w:left="720" w:hanging="360"/>
      </w:pPr>
      <w:r>
        <w:rPr>
          <w:rFonts w:ascii="Arial" w:hAnsi="Arial"/>
          <w:b w:val="0"/>
          <w:i w:val="0"/>
          <w:color w:val="000000"/>
          <w:sz w:val="22"/>
        </w:rPr>
        <w:t>Replace "student-neutral" with "contains no information about a real student."</w:t>
      </w:r>
    </w:p>
    <w:p>
      <w:pPr>
        <w:pStyle w:val="ListBullet"/>
        <w:ind w:left="720" w:hanging="360"/>
      </w:pPr>
      <w:r>
        <w:rPr>
          <w:rFonts w:ascii="Arial" w:hAnsi="Arial"/>
          <w:b w:val="0"/>
          <w:i w:val="0"/>
          <w:color w:val="000000"/>
          <w:sz w:val="22"/>
        </w:rPr>
        <w:t>Replace "fictional material" with "practice copy with no real people or records."</w:t>
      </w:r>
    </w:p>
    <w:p>
      <w:pPr>
        <w:pStyle w:val="ListBullet"/>
        <w:ind w:left="720" w:hanging="360"/>
      </w:pPr>
      <w:r>
        <w:rPr>
          <w:rFonts w:ascii="Arial" w:hAnsi="Arial"/>
          <w:b w:val="0"/>
          <w:i w:val="0"/>
          <w:color w:val="000000"/>
          <w:sz w:val="22"/>
        </w:rPr>
        <w:t>Replace "blueprint" with "assistant setup" or "saved instructions."</w:t>
      </w:r>
    </w:p>
    <w:p>
      <w:pPr>
        <w:pStyle w:val="ListBullet"/>
        <w:ind w:left="720" w:hanging="360"/>
      </w:pPr>
      <w:r>
        <w:rPr>
          <w:rFonts w:ascii="Arial" w:hAnsi="Arial"/>
          <w:b w:val="0"/>
          <w:i w:val="0"/>
          <w:color w:val="000000"/>
          <w:sz w:val="22"/>
        </w:rPr>
        <w:t>Replace "guardrails" with "safety rules" unless the term is immediately defined.</w:t>
      </w:r>
    </w:p>
    <w:p>
      <w:pPr>
        <w:pStyle w:val="ListBullet"/>
        <w:ind w:left="720" w:hanging="360"/>
      </w:pPr>
      <w:r>
        <w:rPr>
          <w:rFonts w:ascii="Arial" w:hAnsi="Arial"/>
          <w:b w:val="0"/>
          <w:i w:val="0"/>
          <w:color w:val="000000"/>
          <w:sz w:val="22"/>
        </w:rPr>
        <w:t>Replace "environment" with "AI tool and account your school allows."</w:t>
      </w:r>
    </w:p>
    <w:p>
      <w:pPr>
        <w:pStyle w:val="Heading2"/>
      </w:pPr>
      <w:r>
        <w:t>3.3 Exact source-boundary instruction</w:t>
      </w:r>
    </w:p>
    <w:p>
      <w:pPr>
        <w:keepLines/>
        <w:spacing w:before="160" w:after="240"/>
        <w:ind w:left="504" w:right="504"/>
      </w:pPr>
      <w:r>
        <w:rPr>
          <w:rFonts w:ascii="Arial" w:hAnsi="Arial"/>
          <w:b w:val="0"/>
          <w:i/>
          <w:color w:val="000000"/>
          <w:sz w:val="24"/>
        </w:rPr>
        <w:t>Use only the text or files I give you for this task. If the information is not there, mark NEEDS TEACHER INPUT instead of guessing.</w:t>
      </w:r>
    </w:p>
    <w:p>
      <w:pPr>
        <w:keepLines w:val="0"/>
      </w:pPr>
      <w:r>
        <w:rPr>
          <w:rFonts w:ascii="Arial" w:hAnsi="Arial"/>
          <w:b w:val="0"/>
          <w:i w:val="0"/>
          <w:color w:val="000000"/>
          <w:sz w:val="22"/>
        </w:rPr>
        <w:t>This sentence replaces the vague instruction, 'Use only what is named.'</w:t>
      </w:r>
    </w:p>
    <w:p>
      <w:pPr>
        <w:pStyle w:val="Heading1"/>
      </w:pPr>
      <w:r>
        <w:t>4. Offer contract</w:t>
      </w:r>
    </w:p>
    <w:p>
      <w:pPr>
        <w:pStyle w:val="Heading2"/>
      </w:pPr>
      <w:r>
        <w:t>4.1 Founding pilot</w:t>
      </w:r>
    </w:p>
    <w:p>
      <w:pPr>
        <w:spacing w:after="100"/>
      </w:pPr>
      <w:r>
        <w:rPr>
          <w:rFonts w:ascii="Arial" w:hAnsi="Arial"/>
          <w:b/>
          <w:i w:val="0"/>
          <w:color w:val="000000"/>
          <w:sz w:val="22"/>
        </w:rPr>
        <w:t xml:space="preserve">Price: </w:t>
      </w:r>
      <w:r>
        <w:rPr>
          <w:rFonts w:ascii="Arial" w:hAnsi="Arial"/>
          <w:b w:val="0"/>
          <w:i w:val="0"/>
          <w:color w:val="000000"/>
          <w:sz w:val="22"/>
        </w:rPr>
        <w:t>$1,500 founding-school pilot</w:t>
      </w:r>
    </w:p>
    <w:p>
      <w:pPr>
        <w:spacing w:after="100"/>
      </w:pPr>
      <w:r>
        <w:rPr>
          <w:rFonts w:ascii="Arial" w:hAnsi="Arial"/>
          <w:b/>
          <w:i w:val="0"/>
          <w:color w:val="000000"/>
          <w:sz w:val="22"/>
        </w:rPr>
        <w:t xml:space="preserve">Includes: </w:t>
      </w:r>
      <w:r>
        <w:rPr>
          <w:rFonts w:ascii="Arial" w:hAnsi="Arial"/>
          <w:b w:val="0"/>
          <w:i w:val="0"/>
          <w:color w:val="000000"/>
          <w:sz w:val="22"/>
        </w:rPr>
        <w:t>One 45-minute leadership setup, one 90-minute teacher lab, digital participant materials, and one 30-minute virtual follow-up two weeks later</w:t>
      </w:r>
    </w:p>
    <w:p>
      <w:pPr>
        <w:spacing w:after="100"/>
      </w:pPr>
      <w:r>
        <w:rPr>
          <w:rFonts w:ascii="Arial" w:hAnsi="Arial"/>
          <w:b/>
          <w:i w:val="0"/>
          <w:color w:val="000000"/>
          <w:sz w:val="22"/>
        </w:rPr>
        <w:t xml:space="preserve">Cohort: </w:t>
      </w:r>
      <w:r>
        <w:rPr>
          <w:rFonts w:ascii="Arial" w:hAnsi="Arial"/>
          <w:b w:val="0"/>
          <w:i w:val="0"/>
          <w:color w:val="000000"/>
          <w:sz w:val="22"/>
        </w:rPr>
        <w:t>8 to 20 educators</w:t>
      </w:r>
    </w:p>
    <w:p>
      <w:pPr>
        <w:spacing w:after="100"/>
      </w:pPr>
      <w:r>
        <w:rPr>
          <w:rFonts w:ascii="Arial" w:hAnsi="Arial"/>
          <w:b/>
          <w:i w:val="0"/>
          <w:color w:val="000000"/>
          <w:sz w:val="22"/>
        </w:rPr>
        <w:t xml:space="preserve">Format: </w:t>
      </w:r>
      <w:r>
        <w:rPr>
          <w:rFonts w:ascii="Arial" w:hAnsi="Arial"/>
          <w:b w:val="0"/>
          <w:i w:val="0"/>
          <w:color w:val="000000"/>
          <w:sz w:val="22"/>
        </w:rPr>
        <w:t>NYC in-person or live virtual</w:t>
      </w:r>
    </w:p>
    <w:p>
      <w:pPr>
        <w:spacing w:after="100"/>
      </w:pPr>
      <w:r>
        <w:rPr>
          <w:rFonts w:ascii="Arial" w:hAnsi="Arial"/>
          <w:b/>
          <w:i w:val="0"/>
          <w:color w:val="000000"/>
          <w:sz w:val="22"/>
        </w:rPr>
        <w:t xml:space="preserve">Second cohort: </w:t>
      </w:r>
      <w:r>
        <w:rPr>
          <w:rFonts w:ascii="Arial" w:hAnsi="Arial"/>
          <w:b w:val="0"/>
          <w:i w:val="0"/>
          <w:color w:val="000000"/>
          <w:sz w:val="22"/>
        </w:rPr>
        <w:t>$750 for a second same-day cohort</w:t>
      </w:r>
    </w:p>
    <w:p>
      <w:pPr>
        <w:spacing w:after="100"/>
      </w:pPr>
      <w:r>
        <w:rPr>
          <w:rFonts w:ascii="Arial" w:hAnsi="Arial"/>
          <w:b/>
          <w:i w:val="0"/>
          <w:color w:val="000000"/>
          <w:sz w:val="22"/>
        </w:rPr>
        <w:t xml:space="preserve">Travel: </w:t>
      </w:r>
      <w:r>
        <w:rPr>
          <w:rFonts w:ascii="Arial" w:hAnsi="Arial"/>
          <w:b w:val="0"/>
          <w:i w:val="0"/>
          <w:color w:val="000000"/>
          <w:sz w:val="22"/>
        </w:rPr>
        <w:t>Outside New York City's five boroughs is scoped separately</w:t>
      </w:r>
    </w:p>
    <w:p>
      <w:pPr>
        <w:pStyle w:val="Heading2"/>
      </w:pPr>
      <w:r>
        <w:t>4.2 Readiness gate</w:t>
      </w:r>
    </w:p>
    <w:p>
      <w:pPr>
        <w:keepLines w:val="0"/>
      </w:pPr>
      <w:r>
        <w:rPr>
          <w:rFonts w:ascii="Arial" w:hAnsi="Arial"/>
          <w:b w:val="0"/>
          <w:i w:val="0"/>
          <w:color w:val="000000"/>
          <w:sz w:val="22"/>
        </w:rPr>
        <w:t>The teacher lab is booked only after leadership identifies the exact AI product and staff account permitted for the session. If no tool is selected, the school receives a separate leadership readiness conversation. Paper planning may be demonstrated, but it is not sold as the full Teacher Time Back Lab because participants could not complete and save the promised product.</w:t>
      </w:r>
    </w:p>
    <w:p>
      <w:pPr>
        <w:pStyle w:val="Heading2"/>
      </w:pPr>
      <w:r>
        <w:t>4.3 What the school provides</w:t>
      </w:r>
    </w:p>
    <w:p>
      <w:pPr>
        <w:pStyle w:val="ListBullet"/>
        <w:ind w:left="720" w:hanging="360"/>
      </w:pPr>
      <w:r>
        <w:rPr>
          <w:rFonts w:ascii="Arial" w:hAnsi="Arial"/>
          <w:b w:val="0"/>
          <w:i w:val="0"/>
          <w:color w:val="000000"/>
          <w:sz w:val="22"/>
        </w:rPr>
        <w:t>The exact AI tool and staff account teachers may use.</w:t>
      </w:r>
    </w:p>
    <w:p>
      <w:pPr>
        <w:pStyle w:val="ListBullet"/>
        <w:ind w:left="720" w:hanging="360"/>
      </w:pPr>
      <w:r>
        <w:rPr>
          <w:rFonts w:ascii="Arial" w:hAnsi="Arial"/>
          <w:b w:val="0"/>
          <w:i w:val="0"/>
          <w:color w:val="000000"/>
          <w:sz w:val="22"/>
        </w:rPr>
        <w:t>Current local guidance for staff AI use and data handling.</w:t>
      </w:r>
    </w:p>
    <w:p>
      <w:pPr>
        <w:pStyle w:val="ListBullet"/>
        <w:ind w:left="720" w:hanging="360"/>
      </w:pPr>
      <w:r>
        <w:rPr>
          <w:rFonts w:ascii="Arial" w:hAnsi="Arial"/>
          <w:b w:val="0"/>
          <w:i w:val="0"/>
          <w:color w:val="000000"/>
          <w:sz w:val="22"/>
        </w:rPr>
        <w:t>One person who can answer policy or platform questions.</w:t>
      </w:r>
    </w:p>
    <w:p>
      <w:pPr>
        <w:pStyle w:val="ListBullet"/>
        <w:ind w:left="720" w:hanging="360"/>
      </w:pPr>
      <w:r>
        <w:rPr>
          <w:rFonts w:ascii="Arial" w:hAnsi="Arial"/>
          <w:b w:val="0"/>
          <w:i w:val="0"/>
          <w:color w:val="000000"/>
          <w:sz w:val="22"/>
        </w:rPr>
        <w:t>A cohort of 8 to 20 educators with working accounts and laptops.</w:t>
      </w:r>
    </w:p>
    <w:p>
      <w:pPr>
        <w:pStyle w:val="ListBullet"/>
        <w:ind w:left="720" w:hanging="360"/>
      </w:pPr>
      <w:r>
        <w:rPr>
          <w:rFonts w:ascii="Arial" w:hAnsi="Arial"/>
          <w:b w:val="0"/>
          <w:i w:val="0"/>
          <w:color w:val="000000"/>
          <w:sz w:val="22"/>
        </w:rPr>
        <w:t>Reliable internet, display capability, and any required accessibility accommodations.</w:t>
      </w:r>
    </w:p>
    <w:p>
      <w:pPr>
        <w:pStyle w:val="ListBullet"/>
        <w:ind w:left="720" w:hanging="360"/>
      </w:pPr>
      <w:r>
        <w:rPr>
          <w:rFonts w:ascii="Arial" w:hAnsi="Arial"/>
          <w:b w:val="0"/>
          <w:i w:val="0"/>
          <w:color w:val="000000"/>
          <w:sz w:val="22"/>
        </w:rPr>
        <w:t>Confirmation that participation results will not be used to evaluate individual teachers.</w:t>
      </w:r>
    </w:p>
    <w:p>
      <w:pPr>
        <w:pStyle w:val="Heading2"/>
      </w:pPr>
      <w:r>
        <w:t>4.4 What teachers bring</w:t>
      </w:r>
    </w:p>
    <w:p>
      <w:pPr>
        <w:pStyle w:val="ListBullet"/>
        <w:ind w:left="720" w:hanging="360"/>
      </w:pPr>
      <w:r>
        <w:rPr>
          <w:rFonts w:ascii="Arial" w:hAnsi="Arial"/>
          <w:b w:val="0"/>
          <w:i w:val="0"/>
          <w:color w:val="000000"/>
          <w:sz w:val="22"/>
        </w:rPr>
        <w:t>A laptop and working login to the school's selected AI tool.</w:t>
      </w:r>
    </w:p>
    <w:p>
      <w:pPr>
        <w:pStyle w:val="ListBullet"/>
        <w:ind w:left="720" w:hanging="360"/>
      </w:pPr>
      <w:r>
        <w:rPr>
          <w:rFonts w:ascii="Arial" w:hAnsi="Arial"/>
          <w:b w:val="0"/>
          <w:i w:val="0"/>
          <w:color w:val="000000"/>
          <w:sz w:val="22"/>
        </w:rPr>
        <w:t>One recurring task they personally perform.</w:t>
      </w:r>
    </w:p>
    <w:p>
      <w:pPr>
        <w:pStyle w:val="ListBullet"/>
        <w:ind w:left="720" w:hanging="360"/>
      </w:pPr>
      <w:r>
        <w:rPr>
          <w:rFonts w:ascii="Arial" w:hAnsi="Arial"/>
          <w:b w:val="0"/>
          <w:i w:val="0"/>
          <w:color w:val="000000"/>
          <w:sz w:val="22"/>
        </w:rPr>
        <w:t>Optional rough notes or a blank format they created or are permitted to reuse.</w:t>
      </w:r>
    </w:p>
    <w:p>
      <w:pPr>
        <w:pStyle w:val="ListBullet"/>
        <w:ind w:left="720" w:hanging="360"/>
      </w:pPr>
      <w:r>
        <w:rPr>
          <w:rFonts w:ascii="Arial" w:hAnsi="Arial"/>
          <w:b w:val="0"/>
          <w:i w:val="0"/>
          <w:color w:val="000000"/>
          <w:sz w:val="22"/>
        </w:rPr>
        <w:t>No student records, student work, grades, rosters, family records, personnel matters, or confidential files.</w:t>
      </w:r>
    </w:p>
    <w:p>
      <w:pPr>
        <w:keepLines w:val="0"/>
      </w:pPr>
      <w:r>
        <w:rPr>
          <w:rFonts w:ascii="Arial" w:hAnsi="Arial"/>
          <w:b w:val="0"/>
          <w:i w:val="0"/>
          <w:color w:val="000000"/>
          <w:sz w:val="22"/>
        </w:rPr>
        <w:t>Teachers who do not bring a task choose from three provided starters: lesson setup from rough notes, directions formatter, or meeting agenda and follow-up organizer.</w:t>
      </w:r>
    </w:p>
    <w:p>
      <w:pPr>
        <w:pStyle w:val="Heading2"/>
      </w:pPr>
      <w:r>
        <w:t>4.5 What each teacher leaves with</w:t>
      </w:r>
    </w:p>
    <w:p>
      <w:pPr>
        <w:pStyle w:val="ListBullet"/>
        <w:ind w:left="720" w:hanging="360"/>
      </w:pPr>
      <w:r>
        <w:rPr>
          <w:rFonts w:ascii="Arial" w:hAnsi="Arial"/>
          <w:b w:val="0"/>
          <w:i w:val="0"/>
          <w:color w:val="000000"/>
          <w:sz w:val="22"/>
        </w:rPr>
        <w:t>One completed assistant setup for one repeated task.</w:t>
      </w:r>
    </w:p>
    <w:p>
      <w:pPr>
        <w:pStyle w:val="ListBullet"/>
        <w:ind w:left="720" w:hanging="360"/>
      </w:pPr>
      <w:r>
        <w:rPr>
          <w:rFonts w:ascii="Arial" w:hAnsi="Arial"/>
          <w:b w:val="0"/>
          <w:i w:val="0"/>
          <w:color w:val="000000"/>
          <w:sz w:val="22"/>
        </w:rPr>
        <w:t>Copy-ready or saved instructions inside the school's selected AI tool.</w:t>
      </w:r>
    </w:p>
    <w:p>
      <w:pPr>
        <w:pStyle w:val="ListBullet"/>
        <w:ind w:left="720" w:hanging="360"/>
      </w:pPr>
      <w:r>
        <w:rPr>
          <w:rFonts w:ascii="Arial" w:hAnsi="Arial"/>
          <w:b w:val="0"/>
          <w:i w:val="0"/>
          <w:color w:val="000000"/>
          <w:sz w:val="22"/>
        </w:rPr>
        <w:t>A list of material that can and cannot be used for that setup.</w:t>
      </w:r>
    </w:p>
    <w:p>
      <w:pPr>
        <w:pStyle w:val="ListBullet"/>
        <w:ind w:left="720" w:hanging="360"/>
      </w:pPr>
      <w:r>
        <w:rPr>
          <w:rFonts w:ascii="Arial" w:hAnsi="Arial"/>
          <w:b w:val="0"/>
          <w:i w:val="0"/>
          <w:color w:val="000000"/>
          <w:sz w:val="22"/>
        </w:rPr>
        <w:t>One completed practice result and one revision.</w:t>
      </w:r>
    </w:p>
    <w:p>
      <w:pPr>
        <w:pStyle w:val="ListBullet"/>
        <w:ind w:left="720" w:hanging="360"/>
      </w:pPr>
      <w:r>
        <w:rPr>
          <w:rFonts w:ascii="Arial" w:hAnsi="Arial"/>
          <w:b w:val="0"/>
          <w:i w:val="0"/>
          <w:color w:val="000000"/>
          <w:sz w:val="22"/>
        </w:rPr>
        <w:t>A five-question review card.</w:t>
      </w:r>
    </w:p>
    <w:p>
      <w:pPr>
        <w:pStyle w:val="ListBullet"/>
        <w:ind w:left="720" w:hanging="360"/>
      </w:pPr>
      <w:r>
        <w:rPr>
          <w:rFonts w:ascii="Arial" w:hAnsi="Arial"/>
          <w:b w:val="0"/>
          <w:i w:val="0"/>
          <w:color w:val="000000"/>
          <w:sz w:val="22"/>
        </w:rPr>
        <w:t>A two-week use and time log.</w:t>
      </w:r>
    </w:p>
    <w:p>
      <w:pPr>
        <w:pStyle w:val="ListBullet"/>
        <w:ind w:left="720" w:hanging="360"/>
      </w:pPr>
      <w:r>
        <w:rPr>
          <w:rFonts w:ascii="Arial" w:hAnsi="Arial"/>
          <w:b w:val="0"/>
          <w:i w:val="0"/>
          <w:color w:val="000000"/>
          <w:sz w:val="22"/>
        </w:rPr>
        <w:t>A clear keep, revise, or stop decision at follow-up.</w:t>
      </w:r>
    </w:p>
    <w:p>
      <w:pPr>
        <w:pStyle w:val="Heading1"/>
      </w:pPr>
      <w:r>
        <w:t>5. Flagship demonstration</w:t>
      </w:r>
    </w:p>
    <w:p>
      <w:pPr>
        <w:pStyle w:val="Heading2"/>
      </w:pPr>
      <w:r>
        <w:t>5.1 The single example</w:t>
      </w:r>
    </w:p>
    <w:p>
      <w:pPr>
        <w:keepLines w:val="0"/>
      </w:pPr>
      <w:r>
        <w:rPr>
          <w:rFonts w:ascii="Arial" w:hAnsi="Arial"/>
          <w:b w:val="0"/>
          <w:i w:val="0"/>
          <w:color w:val="000000"/>
          <w:sz w:val="22"/>
        </w:rPr>
        <w:t>The public page and the opening ten minutes of the lab use one flagship example: the Weekly Lesson Setup Assistant. The example is not presented as the only possible assistant. It is the clearest way to show the product before asking teachers to choose their own task.</w:t>
      </w:r>
    </w:p>
    <w:p>
      <w:pPr>
        <w:pStyle w:val="Heading2"/>
      </w:pPr>
      <w:r>
        <w:t>5.2 Before</w:t>
      </w:r>
    </w:p>
    <w:p>
      <w:pPr>
        <w:keepLines w:val="0"/>
      </w:pPr>
      <w:r>
        <w:rPr>
          <w:rFonts w:ascii="Arial" w:hAnsi="Arial"/>
          <w:b w:val="0"/>
          <w:i w:val="0"/>
          <w:color w:val="000000"/>
          <w:sz w:val="22"/>
        </w:rPr>
        <w:t>A sample teacher has a blank weekly lesson format and a short set of rough notes for a practice lesson. The notes include the topic, time available, materials, and a few activity ideas. They contain no student information and no licensed curriculum pages.</w:t>
      </w:r>
    </w:p>
    <w:p>
      <w:pPr>
        <w:pStyle w:val="Heading2"/>
      </w:pPr>
      <w:r>
        <w:t>5.3 Assistant setup</w:t>
      </w:r>
    </w:p>
    <w:p>
      <w:pPr>
        <w:pStyle w:val="ListBullet"/>
        <w:ind w:left="720" w:hanging="360"/>
      </w:pPr>
      <w:r>
        <w:rPr>
          <w:rFonts w:ascii="Arial" w:hAnsi="Arial"/>
          <w:b w:val="0"/>
          <w:i w:val="0"/>
          <w:color w:val="000000"/>
          <w:sz w:val="22"/>
        </w:rPr>
        <w:t>Help me with: Turn my rough lesson notes into my weekly lesson format.</w:t>
      </w:r>
    </w:p>
    <w:p>
      <w:pPr>
        <w:pStyle w:val="ListBullet"/>
        <w:ind w:left="720" w:hanging="360"/>
      </w:pPr>
      <w:r>
        <w:rPr>
          <w:rFonts w:ascii="Arial" w:hAnsi="Arial"/>
          <w:b w:val="0"/>
          <w:i w:val="0"/>
          <w:color w:val="000000"/>
          <w:sz w:val="22"/>
        </w:rPr>
        <w:t>Use only: The blank format and notes I provide for this lesson.</w:t>
      </w:r>
    </w:p>
    <w:p>
      <w:pPr>
        <w:pStyle w:val="ListBullet"/>
        <w:ind w:left="720" w:hanging="360"/>
      </w:pPr>
      <w:r>
        <w:rPr>
          <w:rFonts w:ascii="Arial" w:hAnsi="Arial"/>
          <w:b w:val="0"/>
          <w:i w:val="0"/>
          <w:color w:val="000000"/>
          <w:sz w:val="22"/>
        </w:rPr>
        <w:t>Return: Objective, materials, sequence, student directions, and two teacher check questions.</w:t>
      </w:r>
    </w:p>
    <w:p>
      <w:pPr>
        <w:pStyle w:val="ListBullet"/>
        <w:ind w:left="720" w:hanging="360"/>
      </w:pPr>
      <w:r>
        <w:rPr>
          <w:rFonts w:ascii="Arial" w:hAnsi="Arial"/>
          <w:b w:val="0"/>
          <w:i w:val="0"/>
          <w:color w:val="000000"/>
          <w:sz w:val="22"/>
        </w:rPr>
        <w:t>Stop and ask if: Timing, materials, or a required fact is missing. Mark NEEDS TEACHER INPUT instead of guessing.</w:t>
      </w:r>
    </w:p>
    <w:p>
      <w:pPr>
        <w:pStyle w:val="ListBullet"/>
        <w:ind w:left="720" w:hanging="360"/>
      </w:pPr>
      <w:r>
        <w:rPr>
          <w:rFonts w:ascii="Arial" w:hAnsi="Arial"/>
          <w:b w:val="0"/>
          <w:i w:val="0"/>
          <w:color w:val="000000"/>
          <w:sz w:val="22"/>
        </w:rPr>
        <w:t>I will review: Accuracy, appropriateness, alignment, missing information, and final wording.</w:t>
      </w:r>
    </w:p>
    <w:p>
      <w:pPr>
        <w:pStyle w:val="Heading2"/>
      </w:pPr>
      <w:r>
        <w:t>5.4 After</w:t>
      </w:r>
    </w:p>
    <w:p>
      <w:pPr>
        <w:keepLines w:val="0"/>
      </w:pPr>
      <w:r>
        <w:rPr>
          <w:rFonts w:ascii="Arial" w:hAnsi="Arial"/>
          <w:b w:val="0"/>
          <w:i w:val="0"/>
          <w:color w:val="000000"/>
          <w:sz w:val="22"/>
        </w:rPr>
        <w:t>The assistant returns a clean first draft in the familiar lesson format. Missing information is visibly marked. The teacher corrects one issue, saves the instructions, and can use the same setup with new rough notes next week.</w:t>
      </w:r>
    </w:p>
    <w:p>
      <w:pPr>
        <w:pStyle w:val="Heading2"/>
      </w:pPr>
      <w:r>
        <w:t>5.5 Demonstration assets</w:t>
      </w:r>
    </w:p>
    <w:p>
      <w:pPr>
        <w:pStyle w:val="ListBullet"/>
        <w:ind w:left="720" w:hanging="360"/>
      </w:pPr>
      <w:r>
        <w:rPr>
          <w:rFonts w:ascii="Arial" w:hAnsi="Arial"/>
          <w:b w:val="0"/>
          <w:i w:val="0"/>
          <w:color w:val="000000"/>
          <w:sz w:val="22"/>
        </w:rPr>
        <w:t>A large before-and-after visual using recognizable teacher documents.</w:t>
      </w:r>
    </w:p>
    <w:p>
      <w:pPr>
        <w:pStyle w:val="ListBullet"/>
        <w:ind w:left="720" w:hanging="360"/>
      </w:pPr>
      <w:r>
        <w:rPr>
          <w:rFonts w:ascii="Arial" w:hAnsi="Arial"/>
          <w:b w:val="0"/>
          <w:i w:val="0"/>
          <w:color w:val="000000"/>
          <w:sz w:val="22"/>
        </w:rPr>
        <w:t>An annotated AI interface showing exactly where instructions and new notes go.</w:t>
      </w:r>
    </w:p>
    <w:p>
      <w:pPr>
        <w:pStyle w:val="ListBullet"/>
        <w:ind w:left="720" w:hanging="360"/>
      </w:pPr>
      <w:r>
        <w:rPr>
          <w:rFonts w:ascii="Arial" w:hAnsi="Arial"/>
          <w:b w:val="0"/>
          <w:i w:val="0"/>
          <w:color w:val="000000"/>
          <w:sz w:val="22"/>
        </w:rPr>
        <w:t>A four-state walkthrough: rough notes, saved instructions, first result, teacher revision.</w:t>
      </w:r>
    </w:p>
    <w:p>
      <w:pPr>
        <w:pStyle w:val="ListBullet"/>
        <w:ind w:left="720" w:hanging="360"/>
      </w:pPr>
      <w:r>
        <w:rPr>
          <w:rFonts w:ascii="Arial" w:hAnsi="Arial"/>
          <w:b w:val="0"/>
          <w:i w:val="0"/>
          <w:color w:val="000000"/>
          <w:sz w:val="22"/>
        </w:rPr>
        <w:t>A one-page completed assistant setup that can be inspected without downloading the full workbook.</w:t>
      </w:r>
    </w:p>
    <w:p>
      <w:pPr>
        <w:pStyle w:val="ListBullet"/>
        <w:ind w:left="720" w:hanging="360"/>
      </w:pPr>
      <w:r>
        <w:rPr>
          <w:rFonts w:ascii="Arial" w:hAnsi="Arial"/>
          <w:b w:val="0"/>
          <w:i w:val="0"/>
          <w:color w:val="000000"/>
          <w:sz w:val="22"/>
        </w:rPr>
        <w:t>A short captioned screen recording or interactive demo. Andrew's avatar may introduce it only if the motion and voice quality meet the same professional standard.</w:t>
      </w:r>
    </w:p>
    <w:p>
      <w:pPr>
        <w:pStyle w:val="Heading1"/>
      </w:pPr>
      <w:r>
        <w:t>6. Workshop curriculum</w:t>
      </w:r>
    </w:p>
    <w:p>
      <w:pPr>
        <w:pStyle w:val="Heading2"/>
      </w:pPr>
      <w:r>
        <w:t>6.1 Learning objectives</w:t>
      </w:r>
    </w:p>
    <w:p>
      <w:pPr>
        <w:keepLines w:val="0"/>
      </w:pPr>
      <w:r>
        <w:rPr>
          <w:rFonts w:ascii="Arial" w:hAnsi="Arial"/>
          <w:b w:val="0"/>
          <w:i w:val="0"/>
          <w:color w:val="000000"/>
          <w:sz w:val="22"/>
        </w:rPr>
        <w:t>By the end of the lab, a participant can:</w:t>
      </w:r>
    </w:p>
    <w:p>
      <w:pPr>
        <w:spacing w:after="80" w:line="276" w:lineRule="auto"/>
        <w:numPr>
          <w:ilvl w:val="0"/>
          <w:numId w:val="10"/>
        </w:numPr>
      </w:pPr>
      <w:r>
        <w:rPr>
          <w:rFonts w:ascii="Arial" w:hAnsi="Arial"/>
          <w:b w:val="0"/>
          <w:i w:val="0"/>
          <w:color w:val="000000"/>
          <w:sz w:val="22"/>
        </w:rPr>
        <w:t>Explain what a reusable assistant is in plain language.</w:t>
      </w:r>
    </w:p>
    <w:p>
      <w:pPr>
        <w:spacing w:after="80" w:line="276" w:lineRule="auto"/>
        <w:numPr>
          <w:ilvl w:val="0"/>
          <w:numId w:val="10"/>
        </w:numPr>
      </w:pPr>
      <w:r>
        <w:rPr>
          <w:rFonts w:ascii="Arial" w:hAnsi="Arial"/>
          <w:b w:val="0"/>
          <w:i w:val="0"/>
          <w:color w:val="000000"/>
          <w:sz w:val="22"/>
        </w:rPr>
        <w:t>Choose one repeated task that is bounded and reviewable.</w:t>
      </w:r>
    </w:p>
    <w:p>
      <w:pPr>
        <w:spacing w:after="80" w:line="276" w:lineRule="auto"/>
        <w:numPr>
          <w:ilvl w:val="0"/>
          <w:numId w:val="10"/>
        </w:numPr>
      </w:pPr>
      <w:r>
        <w:rPr>
          <w:rFonts w:ascii="Arial" w:hAnsi="Arial"/>
          <w:b w:val="0"/>
          <w:i w:val="0"/>
          <w:color w:val="000000"/>
          <w:sz w:val="22"/>
        </w:rPr>
        <w:t>Recognize information that must not be used in the lab.</w:t>
      </w:r>
    </w:p>
    <w:p>
      <w:pPr>
        <w:spacing w:after="80" w:line="276" w:lineRule="auto"/>
        <w:numPr>
          <w:ilvl w:val="0"/>
          <w:numId w:val="10"/>
        </w:numPr>
      </w:pPr>
      <w:r>
        <w:rPr>
          <w:rFonts w:ascii="Arial" w:hAnsi="Arial"/>
          <w:b w:val="0"/>
          <w:i w:val="0"/>
          <w:color w:val="000000"/>
          <w:sz w:val="22"/>
        </w:rPr>
        <w:t>Complete the five-part assistant setup.</w:t>
      </w:r>
    </w:p>
    <w:p>
      <w:pPr>
        <w:spacing w:after="80" w:line="276" w:lineRule="auto"/>
        <w:numPr>
          <w:ilvl w:val="0"/>
          <w:numId w:val="10"/>
        </w:numPr>
      </w:pPr>
      <w:r>
        <w:rPr>
          <w:rFonts w:ascii="Arial" w:hAnsi="Arial"/>
          <w:b w:val="0"/>
          <w:i w:val="0"/>
          <w:color w:val="000000"/>
          <w:sz w:val="22"/>
        </w:rPr>
        <w:t>Test the setup with practice copy and revise it once.</w:t>
      </w:r>
    </w:p>
    <w:p>
      <w:pPr>
        <w:spacing w:after="80" w:line="276" w:lineRule="auto"/>
        <w:numPr>
          <w:ilvl w:val="0"/>
          <w:numId w:val="10"/>
        </w:numPr>
      </w:pPr>
      <w:r>
        <w:rPr>
          <w:rFonts w:ascii="Arial" w:hAnsi="Arial"/>
          <w:b w:val="0"/>
          <w:i w:val="0"/>
          <w:color w:val="000000"/>
          <w:sz w:val="22"/>
        </w:rPr>
        <w:t>Review the result before use.</w:t>
      </w:r>
    </w:p>
    <w:p>
      <w:pPr>
        <w:spacing w:after="80" w:line="276" w:lineRule="auto"/>
        <w:numPr>
          <w:ilvl w:val="0"/>
          <w:numId w:val="10"/>
        </w:numPr>
      </w:pPr>
      <w:r>
        <w:rPr>
          <w:rFonts w:ascii="Arial" w:hAnsi="Arial"/>
          <w:b w:val="0"/>
          <w:i w:val="0"/>
          <w:color w:val="000000"/>
          <w:sz w:val="22"/>
        </w:rPr>
        <w:t>Save the setup and measure whether it helps during the next two weeks.</w:t>
      </w:r>
    </w:p>
    <w:p>
      <w:pPr>
        <w:pStyle w:val="Heading2"/>
      </w:pPr>
      <w:r>
        <w:t>6.2 Teaching sequence</w:t>
      </w:r>
    </w:p>
    <w:p>
      <w:pPr>
        <w:keepLines w:val="0"/>
      </w:pPr>
      <w:r>
        <w:rPr>
          <w:rFonts w:ascii="Arial" w:hAnsi="Arial"/>
          <w:b w:val="0"/>
          <w:i w:val="0"/>
          <w:color w:val="000000"/>
          <w:sz w:val="22"/>
        </w:rPr>
        <w:t>The instructional pattern is: watch Andrew build one, build one with Andrew, try it safely, compare the result, improve it, and save it. Every concept follows definition, visual example, participant action, and visible result.</w:t>
      </w:r>
    </w:p>
    <w:p>
      <w:r>
        <w:br w:type="page"/>
      </w:r>
    </w:p>
    <w:p>
      <w:pPr>
        <w:pStyle w:val="Heading2"/>
      </w:pPr>
      <w:r>
        <w:t>6.3 Ninety-minute agenda</w:t>
      </w:r>
    </w:p>
    <w:tbl>
      <w:tblPr>
        <w:tblStyle w:val="TableGrid"/>
        <w:tblW w:type="dxa" w:w="9360"/>
        <w:tblLayout w:type="fixed"/>
        <w:tblLook w:firstColumn="1" w:firstRow="1" w:lastColumn="0" w:lastRow="0" w:noHBand="0" w:noVBand="1" w:val="04A0"/>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1150"/>
        <w:gridCol w:w="2850"/>
        <w:gridCol w:w="5360"/>
      </w:tblGrid>
      <w:tr>
        <w:trPr>
          <w:tblHeader w:val="true"/>
          <w:cantSplit/>
        </w:trPr>
        <w:tc>
          <w:tcPr>
            <w:tcW w:type="dxa" w:w="1150"/>
            <w:tcMar>
              <w:top w:w="80" w:type="dxa"/>
              <w:start w:w="120" w:type="dxa"/>
              <w:bottom w:w="80" w:type="dxa"/>
              <w:end w:w="120" w:type="dxa"/>
            </w:tcMar>
            <w:vAlign w:val="center"/>
          </w:tcPr>
          <w:p>
            <w:pPr>
              <w:spacing w:before="0" w:after="0" w:line="276" w:lineRule="auto"/>
            </w:pPr>
            <w:r>
              <w:rPr>
                <w:rFonts w:ascii="Arial" w:hAnsi="Arial"/>
                <w:b/>
                <w:i w:val="0"/>
                <w:color w:val="000000"/>
                <w:sz w:val="21"/>
              </w:rPr>
              <w:t>Minutes</w:t>
            </w:r>
          </w:p>
        </w:tc>
        <w:tc>
          <w:tcPr>
            <w:tcW w:type="dxa" w:w="2850"/>
            <w:tcMar>
              <w:top w:w="80" w:type="dxa"/>
              <w:start w:w="120" w:type="dxa"/>
              <w:bottom w:w="80" w:type="dxa"/>
              <w:end w:w="120" w:type="dxa"/>
            </w:tcMar>
            <w:vAlign w:val="center"/>
          </w:tcPr>
          <w:p>
            <w:pPr>
              <w:spacing w:before="0" w:after="0" w:line="276" w:lineRule="auto"/>
            </w:pPr>
            <w:r>
              <w:rPr>
                <w:rFonts w:ascii="Arial" w:hAnsi="Arial"/>
                <w:b/>
                <w:i w:val="0"/>
                <w:color w:val="000000"/>
                <w:sz w:val="21"/>
              </w:rPr>
              <w:t>Participant goal</w:t>
            </w:r>
          </w:p>
        </w:tc>
        <w:tc>
          <w:tcPr>
            <w:tcW w:type="dxa" w:w="5360"/>
            <w:tcMar>
              <w:top w:w="80" w:type="dxa"/>
              <w:start w:w="120" w:type="dxa"/>
              <w:bottom w:w="80" w:type="dxa"/>
              <w:end w:w="120" w:type="dxa"/>
            </w:tcMar>
            <w:vAlign w:val="center"/>
          </w:tcPr>
          <w:p>
            <w:pPr>
              <w:spacing w:before="0" w:after="0" w:line="276" w:lineRule="auto"/>
            </w:pPr>
            <w:r>
              <w:rPr>
                <w:rFonts w:ascii="Arial" w:hAnsi="Arial"/>
                <w:b/>
                <w:i w:val="0"/>
                <w:color w:val="000000"/>
                <w:sz w:val="21"/>
              </w:rPr>
              <w:t>Visible result</w:t>
            </w:r>
          </w:p>
        </w:tc>
      </w:tr>
      <w:tr>
        <w:trPr>
          <w:cantSplit/>
        </w:trPr>
        <w:tc>
          <w:tcPr>
            <w:tcW w:type="dxa" w:w="11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0-10</w:t>
            </w:r>
          </w:p>
        </w:tc>
        <w:tc>
          <w:tcPr>
            <w:tcW w:type="dxa" w:w="28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See the finished product</w:t>
            </w:r>
          </w:p>
        </w:tc>
        <w:tc>
          <w:tcPr>
            <w:tcW w:type="dxa" w:w="536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Watch the Weekly Lesson Setup Assistant transform rough notes into a reviewable first draft.</w:t>
            </w:r>
          </w:p>
        </w:tc>
      </w:tr>
      <w:tr>
        <w:trPr>
          <w:cantSplit/>
        </w:trPr>
        <w:tc>
          <w:tcPr>
            <w:tcW w:type="dxa" w:w="11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10-20</w:t>
            </w:r>
          </w:p>
        </w:tc>
        <w:tc>
          <w:tcPr>
            <w:tcW w:type="dxa" w:w="28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Choose one task</w:t>
            </w:r>
          </w:p>
        </w:tc>
        <w:tc>
          <w:tcPr>
            <w:tcW w:type="dxa" w:w="536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Select a repeated task using frequency, clear input, clear output, and human review.</w:t>
            </w:r>
          </w:p>
        </w:tc>
      </w:tr>
      <w:tr>
        <w:trPr>
          <w:cantSplit/>
        </w:trPr>
        <w:tc>
          <w:tcPr>
            <w:tcW w:type="dxa" w:w="11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20-35</w:t>
            </w:r>
          </w:p>
        </w:tc>
        <w:tc>
          <w:tcPr>
            <w:tcW w:type="dxa" w:w="28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Protect the work</w:t>
            </w:r>
          </w:p>
        </w:tc>
        <w:tc>
          <w:tcPr>
            <w:tcW w:type="dxa" w:w="536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Sort examples into Ready for the lab, Ask the school first, and Not used in this lab.</w:t>
            </w:r>
          </w:p>
        </w:tc>
      </w:tr>
      <w:tr>
        <w:trPr>
          <w:cantSplit/>
        </w:trPr>
        <w:tc>
          <w:tcPr>
            <w:tcW w:type="dxa" w:w="11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35-55</w:t>
            </w:r>
          </w:p>
        </w:tc>
        <w:tc>
          <w:tcPr>
            <w:tcW w:type="dxa" w:w="28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Build the setup</w:t>
            </w:r>
          </w:p>
        </w:tc>
        <w:tc>
          <w:tcPr>
            <w:tcW w:type="dxa" w:w="536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Complete Help me with, Use only, Return, Stop and ask, and I will review.</w:t>
            </w:r>
          </w:p>
        </w:tc>
      </w:tr>
      <w:tr>
        <w:trPr>
          <w:cantSplit/>
        </w:trPr>
        <w:tc>
          <w:tcPr>
            <w:tcW w:type="dxa" w:w="11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55-70</w:t>
            </w:r>
          </w:p>
        </w:tc>
        <w:tc>
          <w:tcPr>
            <w:tcW w:type="dxa" w:w="28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Practice</w:t>
            </w:r>
          </w:p>
        </w:tc>
        <w:tc>
          <w:tcPr>
            <w:tcW w:type="dxa" w:w="536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Use the supplied practice copy, run the setup, and inspect the result.</w:t>
            </w:r>
          </w:p>
        </w:tc>
      </w:tr>
      <w:tr>
        <w:trPr>
          <w:cantSplit/>
        </w:trPr>
        <w:tc>
          <w:tcPr>
            <w:tcW w:type="dxa" w:w="11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70-82</w:t>
            </w:r>
          </w:p>
        </w:tc>
        <w:tc>
          <w:tcPr>
            <w:tcW w:type="dxa" w:w="28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Improve and save</w:t>
            </w:r>
          </w:p>
        </w:tc>
        <w:tc>
          <w:tcPr>
            <w:tcW w:type="dxa" w:w="536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Fix one weakness, save the reusable instructions, and name the next real use.</w:t>
            </w:r>
          </w:p>
        </w:tc>
      </w:tr>
      <w:tr>
        <w:trPr>
          <w:cantSplit/>
        </w:trPr>
        <w:tc>
          <w:tcPr>
            <w:tcW w:type="dxa" w:w="11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82-90</w:t>
            </w:r>
          </w:p>
        </w:tc>
        <w:tc>
          <w:tcPr>
            <w:tcW w:type="dxa" w:w="28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Measure</w:t>
            </w:r>
          </w:p>
        </w:tc>
        <w:tc>
          <w:tcPr>
            <w:tcW w:type="dxa" w:w="536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Record the before-time estimate and begin the two-week keep, revise, or stop test.</w:t>
            </w:r>
          </w:p>
        </w:tc>
      </w:tr>
    </w:tbl>
    <w:p>
      <w:pPr>
        <w:pStyle w:val="Heading2"/>
      </w:pPr>
      <w:r>
        <w:t>6.4 Interaction behavior</w:t>
      </w:r>
    </w:p>
    <w:p>
      <w:pPr>
        <w:pStyle w:val="ListBullet"/>
        <w:ind w:left="720" w:hanging="360"/>
      </w:pPr>
      <w:r>
        <w:rPr>
          <w:rFonts w:ascii="Arial" w:hAnsi="Arial"/>
          <w:b w:val="0"/>
          <w:i w:val="0"/>
          <w:color w:val="000000"/>
          <w:sz w:val="22"/>
        </w:rPr>
        <w:t>Workshop slides show one step at a time. Inactive steps are not simultaneously displayed.</w:t>
      </w:r>
    </w:p>
    <w:p>
      <w:pPr>
        <w:pStyle w:val="ListBullet"/>
        <w:ind w:left="720" w:hanging="360"/>
      </w:pPr>
      <w:r>
        <w:rPr>
          <w:rFonts w:ascii="Arial" w:hAnsi="Arial"/>
          <w:b w:val="0"/>
          <w:i w:val="0"/>
          <w:color w:val="000000"/>
          <w:sz w:val="22"/>
        </w:rPr>
        <w:t>Every slideshow has Previous, Next, a visible step number, and a descriptive title.</w:t>
      </w:r>
    </w:p>
    <w:p>
      <w:pPr>
        <w:pStyle w:val="ListBullet"/>
        <w:ind w:left="720" w:hanging="360"/>
      </w:pPr>
      <w:r>
        <w:rPr>
          <w:rFonts w:ascii="Arial" w:hAnsi="Arial"/>
          <w:b w:val="0"/>
          <w:i w:val="0"/>
          <w:color w:val="000000"/>
          <w:sz w:val="22"/>
        </w:rPr>
        <w:t>Every practice question is explicitly labeled as a question before the participant answers.</w:t>
      </w:r>
    </w:p>
    <w:p>
      <w:pPr>
        <w:pStyle w:val="ListBullet"/>
        <w:ind w:left="720" w:hanging="360"/>
      </w:pPr>
      <w:r>
        <w:rPr>
          <w:rFonts w:ascii="Arial" w:hAnsi="Arial"/>
          <w:b w:val="0"/>
          <w:i w:val="0"/>
          <w:color w:val="000000"/>
          <w:sz w:val="22"/>
        </w:rPr>
        <w:t>The safer answer reveals the correct visual. An unsafe answer receives a calm explanation and another attempt, not a red error state.</w:t>
      </w:r>
    </w:p>
    <w:p>
      <w:pPr>
        <w:pStyle w:val="ListBullet"/>
        <w:ind w:left="720" w:hanging="360"/>
      </w:pPr>
      <w:r>
        <w:rPr>
          <w:rFonts w:ascii="Arial" w:hAnsi="Arial"/>
          <w:b w:val="0"/>
          <w:i w:val="0"/>
          <w:color w:val="000000"/>
          <w:sz w:val="22"/>
        </w:rPr>
        <w:t>Instructions remain visible while the participant interacts.</w:t>
      </w:r>
    </w:p>
    <w:p>
      <w:pPr>
        <w:pStyle w:val="Heading1"/>
      </w:pPr>
      <w:r>
        <w:t>7. Safety and data boundary</w:t>
      </w:r>
    </w:p>
    <w:p>
      <w:pPr>
        <w:pStyle w:val="Heading2"/>
      </w:pPr>
      <w:r>
        <w:t>7.1 Three visible states</w:t>
      </w:r>
    </w:p>
    <w:p>
      <w:pPr>
        <w:spacing w:after="100"/>
      </w:pPr>
      <w:r>
        <w:rPr>
          <w:rFonts w:ascii="Arial" w:hAnsi="Arial"/>
          <w:b/>
          <w:i w:val="0"/>
          <w:color w:val="000000"/>
          <w:sz w:val="22"/>
        </w:rPr>
        <w:t xml:space="preserve">Ready for the lab: </w:t>
      </w:r>
      <w:r>
        <w:rPr>
          <w:rFonts w:ascii="Arial" w:hAnsi="Arial"/>
          <w:b w:val="0"/>
          <w:i w:val="0"/>
          <w:color w:val="000000"/>
          <w:sz w:val="22"/>
        </w:rPr>
        <w:t>Blank formats, rough notes about a topic, public standards, generic event facts, and practice copy with no real people or records. Required symbol: check in a circle. Suggested color: teal.</w:t>
      </w:r>
    </w:p>
    <w:p>
      <w:pPr>
        <w:spacing w:after="100"/>
      </w:pPr>
      <w:r>
        <w:rPr>
          <w:rFonts w:ascii="Arial" w:hAnsi="Arial"/>
          <w:b/>
          <w:i w:val="0"/>
          <w:color w:val="000000"/>
          <w:sz w:val="22"/>
        </w:rPr>
        <w:t xml:space="preserve">Ask the school before using later: </w:t>
      </w:r>
      <w:r>
        <w:rPr>
          <w:rFonts w:ascii="Arial" w:hAnsi="Arial"/>
          <w:b w:val="0"/>
          <w:i w:val="0"/>
          <w:color w:val="000000"/>
          <w:sz w:val="22"/>
        </w:rPr>
        <w:t>Licensed publisher material, accessibility or translation workflows, or any task whose permitted use is uncertain. Required symbol: raised hand or question badge. Suggested color: gold.</w:t>
      </w:r>
    </w:p>
    <w:p>
      <w:pPr>
        <w:spacing w:after="100"/>
      </w:pPr>
      <w:r>
        <w:rPr>
          <w:rFonts w:ascii="Arial" w:hAnsi="Arial"/>
          <w:b/>
          <w:i w:val="0"/>
          <w:color w:val="000000"/>
          <w:sz w:val="22"/>
        </w:rPr>
        <w:t xml:space="preserve">Not used in this lab: </w:t>
      </w:r>
      <w:r>
        <w:rPr>
          <w:rFonts w:ascii="Arial" w:hAnsi="Arial"/>
          <w:b w:val="0"/>
          <w:i w:val="0"/>
          <w:color w:val="000000"/>
          <w:sz w:val="22"/>
        </w:rPr>
        <w:t>Real student work, grades, rosters, identifiers, IEP or 504 information, health, behavior, discipline, family, personnel, or confidential school records. Required symbol: slash or stop shape. Suggested color: charcoal or aubergine, not a second green.</w:t>
      </w:r>
    </w:p>
    <w:p>
      <w:pPr>
        <w:keepLines w:val="0"/>
      </w:pPr>
      <w:r>
        <w:rPr>
          <w:rFonts w:ascii="Arial" w:hAnsi="Arial"/>
          <w:b w:val="0"/>
          <w:i w:val="0"/>
          <w:color w:val="000000"/>
          <w:sz w:val="22"/>
        </w:rPr>
        <w:t>Color is never the only signal. Label, icon, shape, and short explanation are always present.</w:t>
      </w:r>
    </w:p>
    <w:p>
      <w:pPr>
        <w:pStyle w:val="Heading2"/>
      </w:pPr>
      <w:r>
        <w:t>7.2 Pseudonyms, codes, and group data</w:t>
      </w:r>
    </w:p>
    <w:p>
      <w:pPr>
        <w:keepLines w:val="0"/>
      </w:pPr>
      <w:r>
        <w:rPr>
          <w:rFonts w:ascii="Arial" w:hAnsi="Arial"/>
          <w:b w:val="0"/>
          <w:i w:val="0"/>
          <w:color w:val="000000"/>
          <w:sz w:val="22"/>
        </w:rPr>
        <w:t>Replacing a name with Student A, initials, a key ID, or a code does not automatically make information safe. If someone retains a key, if a small group is recognizable, or if surrounding details can identify a student, the information may remain identifiable. The introductory lab therefore does not use real student work or student-level data, even when names are removed.</w:t>
      </w:r>
    </w:p>
    <w:p>
      <w:pPr>
        <w:keepLines w:val="0"/>
      </w:pPr>
      <w:r>
        <w:rPr>
          <w:rFonts w:ascii="Arial" w:hAnsi="Arial"/>
          <w:b w:val="0"/>
          <w:i w:val="0"/>
          <w:color w:val="000000"/>
          <w:sz w:val="22"/>
        </w:rPr>
        <w:t>Reviewing student work, tracking groups, identifying learning trends, or analyzing coded data belongs in a separate advanced engagement. That engagement requires the school's privacy, legal, technology, instructional, and special-education review as applicable, plus an approved platform and documented data-handling process.</w:t>
      </w:r>
    </w:p>
    <w:p>
      <w:pPr>
        <w:pStyle w:val="Heading2"/>
      </w:pPr>
      <w:r>
        <w:t>7.3 Human decision line</w:t>
      </w:r>
    </w:p>
    <w:p>
      <w:pPr>
        <w:keepLines/>
        <w:spacing w:before="160" w:after="240"/>
        <w:ind w:left="504" w:right="504"/>
      </w:pPr>
      <w:r>
        <w:rPr>
          <w:rFonts w:ascii="Arial" w:hAnsi="Arial"/>
          <w:b w:val="0"/>
          <w:i/>
          <w:color w:val="000000"/>
          <w:sz w:val="24"/>
        </w:rPr>
        <w:t>The assistant prepares. The teacher decides.</w:t>
      </w:r>
    </w:p>
    <w:p>
      <w:pPr>
        <w:keepLines w:val="0"/>
      </w:pPr>
      <w:r>
        <w:rPr>
          <w:rFonts w:ascii="Arial" w:hAnsi="Arial"/>
          <w:b w:val="0"/>
          <w:i w:val="0"/>
          <w:color w:val="000000"/>
          <w:sz w:val="22"/>
        </w:rPr>
        <w:t>The assistant may draft, format, organize, summarize permitted material, or identify missing information. It may not independently grade, rank, diagnose, place, discipline, recommend accommodations, write an IEP, make eligibility decisions, evaluate teachers, or send communications.</w:t>
      </w:r>
    </w:p>
    <w:p>
      <w:pPr>
        <w:pStyle w:val="Heading2"/>
      </w:pPr>
      <w:r>
        <w:t>7.4 Copyright and licensed materials</w:t>
      </w:r>
    </w:p>
    <w:p>
      <w:pPr>
        <w:keepLines w:val="0"/>
      </w:pPr>
      <w:r>
        <w:rPr>
          <w:rFonts w:ascii="Arial" w:hAnsi="Arial"/>
          <w:b w:val="0"/>
          <w:i w:val="0"/>
          <w:color w:val="000000"/>
          <w:sz w:val="22"/>
        </w:rPr>
        <w:t>Participants may use a blank format, outline, rubric, or resource they created or that the school permits them to adapt. They do not upload publisher curriculum, colleague-created resources, or other copyrighted materials unless the school and platform permit that use. Andrew does not provide a blanket copyright determination.</w:t>
      </w:r>
    </w:p>
    <w:p>
      <w:pPr>
        <w:pStyle w:val="Heading2"/>
      </w:pPr>
      <w:r>
        <w:t>7.5 Escalation rule</w:t>
      </w:r>
    </w:p>
    <w:p>
      <w:pPr>
        <w:keepLines/>
        <w:spacing w:before="160" w:after="240"/>
        <w:ind w:left="504" w:right="504"/>
      </w:pPr>
      <w:r>
        <w:rPr>
          <w:rFonts w:ascii="Arial" w:hAnsi="Arial"/>
          <w:b w:val="0"/>
          <w:i/>
          <w:color w:val="000000"/>
          <w:sz w:val="24"/>
        </w:rPr>
        <w:t>If you are unsure whether a tool, account, file, or task is allowed, stop and ask the school contact before using it.</w:t>
      </w:r>
    </w:p>
    <w:p>
      <w:pPr>
        <w:pStyle w:val="Heading1"/>
      </w:pPr>
      <w:r>
        <w:t>8. Platform architecture</w:t>
      </w:r>
    </w:p>
    <w:p>
      <w:pPr>
        <w:pStyle w:val="Heading2"/>
      </w:pPr>
      <w:r>
        <w:t>8.1 Platform-neutral core</w:t>
      </w:r>
    </w:p>
    <w:p>
      <w:pPr>
        <w:keepLines w:val="0"/>
      </w:pPr>
      <w:r>
        <w:rPr>
          <w:rFonts w:ascii="Arial" w:hAnsi="Arial"/>
          <w:b w:val="0"/>
          <w:i w:val="0"/>
          <w:color w:val="000000"/>
          <w:sz w:val="22"/>
        </w:rPr>
        <w:t>The product teaches one method that can be translated across products: define one job, name the permitted material, specify the result, add a stop-and-ask rule, and keep human review visible. The method is the product. No vendor is the product.</w:t>
      </w:r>
    </w:p>
    <w:p>
      <w:pPr>
        <w:pStyle w:val="Heading2"/>
      </w:pPr>
      <w:r>
        <w:t>8.2 Supported adapter strategy</w:t>
      </w:r>
    </w:p>
    <w:p>
      <w:pPr>
        <w:pStyle w:val="ListBullet"/>
        <w:ind w:left="720" w:hanging="360"/>
      </w:pPr>
      <w:r>
        <w:rPr>
          <w:rFonts w:ascii="Arial" w:hAnsi="Arial"/>
          <w:b w:val="0"/>
          <w:i w:val="0"/>
          <w:color w:val="000000"/>
          <w:sz w:val="22"/>
        </w:rPr>
        <w:t>Build a short setup card only for the platform a pilot school has selected.</w:t>
      </w:r>
    </w:p>
    <w:p>
      <w:pPr>
        <w:pStyle w:val="ListBullet"/>
        <w:ind w:left="720" w:hanging="360"/>
      </w:pPr>
      <w:r>
        <w:rPr>
          <w:rFonts w:ascii="Arial" w:hAnsi="Arial"/>
          <w:b w:val="0"/>
          <w:i w:val="0"/>
          <w:color w:val="000000"/>
          <w:sz w:val="22"/>
        </w:rPr>
        <w:t>Initial adapter targets may include ChatGPT, Microsoft Copilot, Google Gemini, and MagicSchool.</w:t>
      </w:r>
    </w:p>
    <w:p>
      <w:pPr>
        <w:pStyle w:val="ListBullet"/>
        <w:ind w:left="720" w:hanging="360"/>
      </w:pPr>
      <w:r>
        <w:rPr>
          <w:rFonts w:ascii="Arial" w:hAnsi="Arial"/>
          <w:b w:val="0"/>
          <w:i w:val="0"/>
          <w:color w:val="000000"/>
          <w:sz w:val="22"/>
        </w:rPr>
        <w:t>Each adapter must be tested in the actual school account type because features, sharing, files, retention, and administrative controls vary.</w:t>
      </w:r>
    </w:p>
    <w:p>
      <w:pPr>
        <w:pStyle w:val="ListBullet"/>
        <w:ind w:left="720" w:hanging="360"/>
      </w:pPr>
      <w:r>
        <w:rPr>
          <w:rFonts w:ascii="Arial" w:hAnsi="Arial"/>
          <w:b w:val="0"/>
          <w:i w:val="0"/>
          <w:color w:val="000000"/>
          <w:sz w:val="22"/>
        </w:rPr>
        <w:t>The public site does not claim universal one-click installation.</w:t>
      </w:r>
    </w:p>
    <w:p>
      <w:pPr>
        <w:pStyle w:val="Heading2"/>
      </w:pPr>
      <w:r>
        <w:t>8.3 Codex and public-agent decision</w:t>
      </w:r>
    </w:p>
    <w:p>
      <w:pPr>
        <w:keepLines w:val="0"/>
      </w:pPr>
      <w:r>
        <w:rPr>
          <w:rFonts w:ascii="Arial" w:hAnsi="Arial"/>
          <w:b w:val="0"/>
          <w:i w:val="0"/>
          <w:color w:val="000000"/>
          <w:sz w:val="22"/>
        </w:rPr>
        <w:t>The Codex skill remains an internal development and testing tool. It is not a public teacher download and does not appear in the sales page, public resources, or participant materials. The platform-neutral agent specification remains an internal reference until a school chooses a platform and a tested implementation is deliberately created. Neither ZIP is presented as a secure deployed school product.</w:t>
      </w:r>
    </w:p>
    <w:p>
      <w:pPr>
        <w:pStyle w:val="Heading2"/>
      </w:pPr>
      <w:r>
        <w:t>8.4 Account and data controls</w:t>
      </w:r>
    </w:p>
    <w:p>
      <w:pPr>
        <w:keepLines w:val="0"/>
      </w:pPr>
      <w:r>
        <w:rPr>
          <w:rFonts w:ascii="Arial" w:hAnsi="Arial"/>
          <w:b w:val="0"/>
          <w:i w:val="0"/>
          <w:color w:val="000000"/>
          <w:sz w:val="22"/>
        </w:rPr>
        <w:t>School leadership, not Andrew or the participant, confirms account eligibility, sharing, retention, model-training settings, file permissions, browsing, connectors, and administrative controls. The first lab uses no external connectors and does not require web browsing or file uploads.</w:t>
      </w:r>
    </w:p>
    <w:p>
      <w:pPr>
        <w:pStyle w:val="Heading1"/>
      </w:pPr>
      <w:r>
        <w:t>9. Sales-page specification</w:t>
      </w:r>
    </w:p>
    <w:p>
      <w:pPr>
        <w:pStyle w:val="Heading2"/>
      </w:pPr>
      <w:r>
        <w:t>9.1 Page goal</w:t>
      </w:r>
    </w:p>
    <w:p>
      <w:pPr>
        <w:keepLines w:val="0"/>
      </w:pPr>
      <w:r>
        <w:rPr>
          <w:rFonts w:ascii="Arial" w:hAnsi="Arial"/>
          <w:b w:val="0"/>
          <w:i w:val="0"/>
          <w:color w:val="000000"/>
          <w:sz w:val="22"/>
        </w:rPr>
        <w:t>Move a qualified school leader from confusion to a short pilot-fit conversation. A teacher visitor should also understand what the lab feels like and what they will build. The page is a sale, not a resource archive.</w:t>
      </w:r>
    </w:p>
    <w:p>
      <w:pPr>
        <w:pStyle w:val="Heading2"/>
      </w:pPr>
      <w:r>
        <w:t>9.2 Required hero copy</w:t>
      </w:r>
    </w:p>
    <w:p>
      <w:pPr>
        <w:spacing w:after="100"/>
      </w:pPr>
      <w:r>
        <w:rPr>
          <w:rFonts w:ascii="Arial" w:hAnsi="Arial"/>
          <w:b/>
          <w:i w:val="0"/>
          <w:color w:val="000000"/>
          <w:sz w:val="22"/>
        </w:rPr>
        <w:t xml:space="preserve">Eyebrow: </w:t>
      </w:r>
      <w:r>
        <w:rPr>
          <w:rFonts w:ascii="Arial" w:hAnsi="Arial"/>
          <w:b w:val="0"/>
          <w:i w:val="0"/>
          <w:color w:val="000000"/>
          <w:sz w:val="22"/>
        </w:rPr>
        <w:t>FOR SCHOOLS THAT WANT AI TO REDUCE WORK, NOT ADD TO IT</w:t>
      </w:r>
    </w:p>
    <w:p>
      <w:pPr>
        <w:spacing w:after="100"/>
      </w:pPr>
      <w:r>
        <w:rPr>
          <w:rFonts w:ascii="Arial" w:hAnsi="Arial"/>
          <w:b/>
          <w:i w:val="0"/>
          <w:color w:val="000000"/>
          <w:sz w:val="22"/>
        </w:rPr>
        <w:t xml:space="preserve">Headline: </w:t>
      </w:r>
      <w:r>
        <w:rPr>
          <w:rFonts w:ascii="Arial" w:hAnsi="Arial"/>
          <w:b w:val="0"/>
          <w:i w:val="0"/>
          <w:color w:val="000000"/>
          <w:sz w:val="22"/>
        </w:rPr>
        <w:t>Give teachers back time. Build one useful AI assistant in 90 minutes.</w:t>
      </w:r>
    </w:p>
    <w:p>
      <w:pPr>
        <w:spacing w:after="100"/>
      </w:pPr>
      <w:r>
        <w:rPr>
          <w:rFonts w:ascii="Arial" w:hAnsi="Arial"/>
          <w:b/>
          <w:i w:val="0"/>
          <w:color w:val="000000"/>
          <w:sz w:val="22"/>
        </w:rPr>
        <w:t xml:space="preserve">Explanation: </w:t>
      </w:r>
      <w:r>
        <w:rPr>
          <w:rFonts w:ascii="Arial" w:hAnsi="Arial"/>
          <w:b w:val="0"/>
          <w:i w:val="0"/>
          <w:color w:val="000000"/>
          <w:sz w:val="22"/>
        </w:rPr>
        <w:t>Bring one recurring task. Andrew guides your staff through building and testing a reusable assistant inside the AI tool your school already allows. No coding. No real student information. No previous AI experience.</w:t>
      </w:r>
    </w:p>
    <w:p>
      <w:pPr>
        <w:spacing w:after="100"/>
      </w:pPr>
      <w:r>
        <w:rPr>
          <w:rFonts w:ascii="Arial" w:hAnsi="Arial"/>
          <w:b/>
          <w:i w:val="0"/>
          <w:color w:val="000000"/>
          <w:sz w:val="22"/>
        </w:rPr>
        <w:t xml:space="preserve">Primary action: </w:t>
      </w:r>
      <w:r>
        <w:rPr>
          <w:rFonts w:ascii="Arial" w:hAnsi="Arial"/>
          <w:b w:val="0"/>
          <w:i w:val="0"/>
          <w:color w:val="000000"/>
          <w:sz w:val="22"/>
        </w:rPr>
        <w:t>See exactly what teachers build</w:t>
      </w:r>
    </w:p>
    <w:p>
      <w:pPr>
        <w:spacing w:after="100"/>
      </w:pPr>
      <w:r>
        <w:rPr>
          <w:rFonts w:ascii="Arial" w:hAnsi="Arial"/>
          <w:b/>
          <w:i w:val="0"/>
          <w:color w:val="000000"/>
          <w:sz w:val="22"/>
        </w:rPr>
        <w:t xml:space="preserve">Secondary action: </w:t>
      </w:r>
      <w:r>
        <w:rPr>
          <w:rFonts w:ascii="Arial" w:hAnsi="Arial"/>
          <w:b w:val="0"/>
          <w:i w:val="0"/>
          <w:color w:val="000000"/>
          <w:sz w:val="22"/>
        </w:rPr>
        <w:t>Plan a school pilot</w:t>
      </w:r>
    </w:p>
    <w:p>
      <w:pPr>
        <w:pStyle w:val="Heading2"/>
      </w:pPr>
      <w:r>
        <w:t>9.3 Information order</w:t>
      </w:r>
    </w:p>
    <w:p>
      <w:pPr>
        <w:spacing w:after="80" w:line="276" w:lineRule="auto"/>
        <w:numPr>
          <w:ilvl w:val="0"/>
          <w:numId w:val="11"/>
        </w:numPr>
      </w:pPr>
      <w:r>
        <w:rPr>
          <w:rFonts w:ascii="Arial" w:hAnsi="Arial"/>
          <w:b w:val="0"/>
          <w:i w:val="0"/>
          <w:color w:val="000000"/>
          <w:sz w:val="22"/>
        </w:rPr>
        <w:t>Hero: relief, low entry point, and exact promise.</w:t>
      </w:r>
    </w:p>
    <w:p>
      <w:pPr>
        <w:spacing w:after="80" w:line="276" w:lineRule="auto"/>
        <w:numPr>
          <w:ilvl w:val="0"/>
          <w:numId w:val="11"/>
        </w:numPr>
      </w:pPr>
      <w:r>
        <w:rPr>
          <w:rFonts w:ascii="Arial" w:hAnsi="Arial"/>
          <w:b w:val="0"/>
          <w:i w:val="0"/>
          <w:color w:val="000000"/>
          <w:sz w:val="22"/>
        </w:rPr>
        <w:t>Finished product: interactive Weekly Lesson Setup Assistant demonstration.</w:t>
      </w:r>
    </w:p>
    <w:p>
      <w:pPr>
        <w:spacing w:after="80" w:line="276" w:lineRule="auto"/>
        <w:numPr>
          <w:ilvl w:val="0"/>
          <w:numId w:val="11"/>
        </w:numPr>
      </w:pPr>
      <w:r>
        <w:rPr>
          <w:rFonts w:ascii="Arial" w:hAnsi="Arial"/>
          <w:b w:val="0"/>
          <w:i w:val="0"/>
          <w:color w:val="000000"/>
          <w:sz w:val="22"/>
        </w:rPr>
        <w:t>What happens: one visible workshop step at a time.</w:t>
      </w:r>
    </w:p>
    <w:p>
      <w:pPr>
        <w:spacing w:after="80" w:line="276" w:lineRule="auto"/>
        <w:numPr>
          <w:ilvl w:val="0"/>
          <w:numId w:val="11"/>
        </w:numPr>
      </w:pPr>
      <w:r>
        <w:rPr>
          <w:rFonts w:ascii="Arial" w:hAnsi="Arial"/>
          <w:b w:val="0"/>
          <w:i w:val="0"/>
          <w:color w:val="000000"/>
          <w:sz w:val="22"/>
        </w:rPr>
        <w:t>Safety: three clearly labeled states and a four-question practice.</w:t>
      </w:r>
    </w:p>
    <w:p>
      <w:pPr>
        <w:spacing w:after="80" w:line="276" w:lineRule="auto"/>
        <w:numPr>
          <w:ilvl w:val="0"/>
          <w:numId w:val="11"/>
        </w:numPr>
      </w:pPr>
      <w:r>
        <w:rPr>
          <w:rFonts w:ascii="Arial" w:hAnsi="Arial"/>
          <w:b w:val="0"/>
          <w:i w:val="0"/>
          <w:color w:val="000000"/>
          <w:sz w:val="22"/>
        </w:rPr>
        <w:t>Preparation and deliverables: what leadership names, what teachers bring, and what everyone receives.</w:t>
      </w:r>
    </w:p>
    <w:p>
      <w:pPr>
        <w:spacing w:after="80" w:line="276" w:lineRule="auto"/>
        <w:numPr>
          <w:ilvl w:val="0"/>
          <w:numId w:val="11"/>
        </w:numPr>
      </w:pPr>
      <w:r>
        <w:rPr>
          <w:rFonts w:ascii="Arial" w:hAnsi="Arial"/>
          <w:b w:val="0"/>
          <w:i w:val="0"/>
          <w:color w:val="000000"/>
          <w:sz w:val="22"/>
        </w:rPr>
        <w:t>Pilot contract: 45 + 90 + 30 format, cohort, price, and readiness gate.</w:t>
      </w:r>
    </w:p>
    <w:p>
      <w:pPr>
        <w:spacing w:after="80" w:line="276" w:lineRule="auto"/>
        <w:numPr>
          <w:ilvl w:val="0"/>
          <w:numId w:val="11"/>
        </w:numPr>
      </w:pPr>
      <w:r>
        <w:rPr>
          <w:rFonts w:ascii="Arial" w:hAnsi="Arial"/>
          <w:b w:val="0"/>
          <w:i w:val="0"/>
          <w:color w:val="000000"/>
          <w:sz w:val="22"/>
        </w:rPr>
        <w:t>Why Andrew: accurate credentials, relevant experience, About link, and CV link.</w:t>
      </w:r>
    </w:p>
    <w:p>
      <w:pPr>
        <w:spacing w:after="80" w:line="276" w:lineRule="auto"/>
        <w:numPr>
          <w:ilvl w:val="0"/>
          <w:numId w:val="11"/>
        </w:numPr>
      </w:pPr>
      <w:r>
        <w:rPr>
          <w:rFonts w:ascii="Arial" w:hAnsi="Arial"/>
          <w:b w:val="0"/>
          <w:i w:val="0"/>
          <w:color w:val="000000"/>
          <w:sz w:val="22"/>
        </w:rPr>
        <w:t>Frequently asked questions: beginner, platform, privacy, student work, licensing, follow-up, and time-saving questions.</w:t>
      </w:r>
    </w:p>
    <w:p>
      <w:pPr>
        <w:spacing w:after="80" w:line="276" w:lineRule="auto"/>
        <w:numPr>
          <w:ilvl w:val="0"/>
          <w:numId w:val="11"/>
        </w:numPr>
      </w:pPr>
      <w:r>
        <w:rPr>
          <w:rFonts w:ascii="Arial" w:hAnsi="Arial"/>
          <w:b w:val="0"/>
          <w:i w:val="0"/>
          <w:color w:val="000000"/>
          <w:sz w:val="22"/>
        </w:rPr>
        <w:t>Contact: one fit conversation and a warning not to include student or confidential information.</w:t>
      </w:r>
    </w:p>
    <w:p>
      <w:pPr>
        <w:pStyle w:val="Heading2"/>
      </w:pPr>
      <w:r>
        <w:t>9.4 Desktop architecture</w:t>
      </w:r>
    </w:p>
    <w:p>
      <w:pPr>
        <w:keepLines w:val="0"/>
      </w:pPr>
      <w:r>
        <w:rPr>
          <w:rFonts w:ascii="Arial" w:hAnsi="Arial"/>
          <w:b w:val="0"/>
          <w:i w:val="0"/>
          <w:color w:val="000000"/>
          <w:sz w:val="22"/>
        </w:rPr>
        <w:t>At desktop widths of 1200 pixels and above, use a three-pane full-height experience. The center is the primary reading and interaction area. The left and right rails remain visible and may scroll independently when their content exceeds the viewport. Keyboard focus, skip navigation, anchor behavior, and screen-reader order must remain logical.</w:t>
      </w:r>
    </w:p>
    <w:p>
      <w:pPr>
        <w:pStyle w:val="ListBullet"/>
        <w:ind w:left="720" w:hanging="360"/>
      </w:pPr>
      <w:r>
        <w:rPr>
          <w:rFonts w:ascii="Arial" w:hAnsi="Arial"/>
          <w:b w:val="0"/>
          <w:i w:val="0"/>
          <w:color w:val="000000"/>
          <w:sz w:val="22"/>
        </w:rPr>
        <w:t>Left rail: section progress, preparation summary, and persistent pilot action. No horizontal menu.</w:t>
      </w:r>
    </w:p>
    <w:p>
      <w:pPr>
        <w:pStyle w:val="ListBullet"/>
        <w:ind w:left="720" w:hanging="360"/>
      </w:pPr>
      <w:r>
        <w:rPr>
          <w:rFonts w:ascii="Arial" w:hAnsi="Arial"/>
          <w:b w:val="0"/>
          <w:i w:val="0"/>
          <w:color w:val="000000"/>
          <w:sz w:val="22"/>
        </w:rPr>
        <w:t>Center: the complete sales story and all primary interactions.</w:t>
      </w:r>
    </w:p>
    <w:p>
      <w:pPr>
        <w:pStyle w:val="ListBullet"/>
        <w:ind w:left="720" w:hanging="360"/>
      </w:pPr>
      <w:r>
        <w:rPr>
          <w:rFonts w:ascii="Arial" w:hAnsi="Arial"/>
          <w:b w:val="0"/>
          <w:i w:val="0"/>
          <w:color w:val="000000"/>
          <w:sz w:val="22"/>
        </w:rPr>
        <w:t>Right rail: a changing proof panel that shows the current finished artifact, safety example, or pilot fact. It is never a generic decorative card.</w:t>
      </w:r>
    </w:p>
    <w:p>
      <w:pPr>
        <w:pStyle w:val="ListBullet"/>
        <w:ind w:left="720" w:hanging="360"/>
      </w:pPr>
      <w:r>
        <w:rPr>
          <w:rFonts w:ascii="Arial" w:hAnsi="Arial"/>
          <w:b w:val="0"/>
          <w:i w:val="0"/>
          <w:color w:val="000000"/>
          <w:sz w:val="22"/>
        </w:rPr>
        <w:t>Tablet: one main column with one collapsible supporting panel. No narrow three-column squeeze.</w:t>
      </w:r>
    </w:p>
    <w:p>
      <w:pPr>
        <w:pStyle w:val="ListBullet"/>
        <w:ind w:left="720" w:hanging="360"/>
      </w:pPr>
      <w:r>
        <w:rPr>
          <w:rFonts w:ascii="Arial" w:hAnsi="Arial"/>
          <w:b w:val="0"/>
          <w:i w:val="0"/>
          <w:color w:val="000000"/>
          <w:sz w:val="22"/>
        </w:rPr>
        <w:t>Mobile: a single linear flow with sticky primary action only when it does not obscure content.</w:t>
      </w:r>
    </w:p>
    <w:p>
      <w:pPr>
        <w:pStyle w:val="Heading2"/>
      </w:pPr>
      <w:r>
        <w:t>9.5 Interactive elements</w:t>
      </w:r>
    </w:p>
    <w:p>
      <w:pPr>
        <w:pStyle w:val="ListBullet"/>
        <w:ind w:left="720" w:hanging="360"/>
      </w:pPr>
      <w:r>
        <w:rPr>
          <w:rFonts w:ascii="Arial" w:hAnsi="Arial"/>
          <w:b w:val="0"/>
          <w:i w:val="0"/>
          <w:color w:val="000000"/>
          <w:sz w:val="22"/>
        </w:rPr>
        <w:t>Four-state finished-product walkthrough with one state visible at a time.</w:t>
      </w:r>
    </w:p>
    <w:p>
      <w:pPr>
        <w:pStyle w:val="ListBullet"/>
        <w:ind w:left="720" w:hanging="360"/>
      </w:pPr>
      <w:r>
        <w:rPr>
          <w:rFonts w:ascii="Arial" w:hAnsi="Arial"/>
          <w:b w:val="0"/>
          <w:i w:val="0"/>
          <w:color w:val="000000"/>
          <w:sz w:val="22"/>
        </w:rPr>
        <w:t>Six-step lab walkthrough with explicit Previous and Next controls and Step X of 6 status.</w:t>
      </w:r>
    </w:p>
    <w:p>
      <w:pPr>
        <w:pStyle w:val="ListBullet"/>
        <w:ind w:left="720" w:hanging="360"/>
      </w:pPr>
      <w:r>
        <w:rPr>
          <w:rFonts w:ascii="Arial" w:hAnsi="Arial"/>
          <w:b w:val="0"/>
          <w:i w:val="0"/>
          <w:color w:val="000000"/>
          <w:sz w:val="22"/>
        </w:rPr>
        <w:t>Four-question safety practice labeled before the first question begins.</w:t>
      </w:r>
    </w:p>
    <w:p>
      <w:pPr>
        <w:pStyle w:val="ListBullet"/>
        <w:ind w:left="720" w:hanging="360"/>
      </w:pPr>
      <w:r>
        <w:rPr>
          <w:rFonts w:ascii="Arial" w:hAnsi="Arial"/>
          <w:b w:val="0"/>
          <w:i w:val="0"/>
          <w:color w:val="000000"/>
          <w:sz w:val="22"/>
        </w:rPr>
        <w:t>Optional time-back calculator that asks frequency, current minutes, assisted minutes, and review minutes. It clearly labels the result as an estimate.</w:t>
      </w:r>
    </w:p>
    <w:p>
      <w:pPr>
        <w:pStyle w:val="ListBullet"/>
        <w:ind w:left="720" w:hanging="360"/>
      </w:pPr>
      <w:r>
        <w:rPr>
          <w:rFonts w:ascii="Arial" w:hAnsi="Arial"/>
          <w:b w:val="0"/>
          <w:i w:val="0"/>
          <w:color w:val="000000"/>
          <w:sz w:val="22"/>
        </w:rPr>
        <w:t>A beginner route that explains each term before any configuration choice.</w:t>
      </w:r>
    </w:p>
    <w:p>
      <w:pPr>
        <w:pStyle w:val="ListBullet"/>
        <w:ind w:left="720" w:hanging="360"/>
      </w:pPr>
      <w:r>
        <w:rPr>
          <w:rFonts w:ascii="Arial" w:hAnsi="Arial"/>
          <w:b w:val="0"/>
          <w:i w:val="0"/>
          <w:color w:val="000000"/>
          <w:sz w:val="22"/>
        </w:rPr>
        <w:t>No interaction exists only for decoration, and no tab returns the visitor to the top of its section.</w:t>
      </w:r>
    </w:p>
    <w:p>
      <w:pPr>
        <w:pStyle w:val="Heading2"/>
      </w:pPr>
      <w:r>
        <w:t>9.6 Visual assets</w:t>
      </w:r>
    </w:p>
    <w:p>
      <w:pPr>
        <w:pStyle w:val="ListBullet"/>
        <w:ind w:left="720" w:hanging="360"/>
      </w:pPr>
      <w:r>
        <w:rPr>
          <w:rFonts w:ascii="Arial" w:hAnsi="Arial"/>
          <w:b w:val="0"/>
          <w:i w:val="0"/>
          <w:color w:val="000000"/>
          <w:sz w:val="22"/>
        </w:rPr>
        <w:t>Authentic before-and-after teacher documents created specifically for the demonstration.</w:t>
      </w:r>
    </w:p>
    <w:p>
      <w:pPr>
        <w:pStyle w:val="ListBullet"/>
        <w:ind w:left="720" w:hanging="360"/>
      </w:pPr>
      <w:r>
        <w:rPr>
          <w:rFonts w:ascii="Arial" w:hAnsi="Arial"/>
          <w:b w:val="0"/>
          <w:i w:val="0"/>
          <w:color w:val="000000"/>
          <w:sz w:val="22"/>
        </w:rPr>
        <w:t>Annotated interface mockups for each supported platform adapter.</w:t>
      </w:r>
    </w:p>
    <w:p>
      <w:pPr>
        <w:pStyle w:val="ListBullet"/>
        <w:ind w:left="720" w:hanging="360"/>
      </w:pPr>
      <w:r>
        <w:rPr>
          <w:rFonts w:ascii="Arial" w:hAnsi="Arial"/>
          <w:b w:val="0"/>
          <w:i w:val="0"/>
          <w:color w:val="000000"/>
          <w:sz w:val="22"/>
        </w:rPr>
        <w:t>Large safety cards using icon, shape, label, and color together.</w:t>
      </w:r>
    </w:p>
    <w:p>
      <w:pPr>
        <w:pStyle w:val="ListBullet"/>
        <w:ind w:left="720" w:hanging="360"/>
      </w:pPr>
      <w:r>
        <w:rPr>
          <w:rFonts w:ascii="Arial" w:hAnsi="Arial"/>
          <w:b w:val="0"/>
          <w:i w:val="0"/>
          <w:color w:val="000000"/>
          <w:sz w:val="22"/>
        </w:rPr>
        <w:t>A photographed or carefully produced portrait of Andrew tied to his role as facilitator.</w:t>
      </w:r>
    </w:p>
    <w:p>
      <w:pPr>
        <w:pStyle w:val="ListBullet"/>
        <w:ind w:left="720" w:hanging="360"/>
      </w:pPr>
      <w:r>
        <w:rPr>
          <w:rFonts w:ascii="Arial" w:hAnsi="Arial"/>
          <w:b w:val="0"/>
          <w:i w:val="0"/>
          <w:color w:val="000000"/>
          <w:sz w:val="22"/>
        </w:rPr>
        <w:t>Optional captioned avatar introduction only if it adds warmth and meets professional motion, voice, and compositing standards.</w:t>
      </w:r>
    </w:p>
    <w:p>
      <w:pPr>
        <w:pStyle w:val="ListBullet"/>
        <w:ind w:left="720" w:hanging="360"/>
      </w:pPr>
      <w:r>
        <w:rPr>
          <w:rFonts w:ascii="Arial" w:hAnsi="Arial"/>
          <w:b w:val="0"/>
          <w:i w:val="0"/>
          <w:color w:val="000000"/>
          <w:sz w:val="22"/>
        </w:rPr>
        <w:t>No generic stock classroom photography, no grid-line background, no unexplained illustrations, and no mismatched rail colors.</w:t>
      </w:r>
    </w:p>
    <w:p>
      <w:pPr>
        <w:pStyle w:val="Heading2"/>
      </w:pPr>
      <w:r>
        <w:t>9.7 Type, color, and accessibility</w:t>
      </w:r>
    </w:p>
    <w:p>
      <w:pPr>
        <w:pStyle w:val="ListBullet"/>
        <w:ind w:left="720" w:hanging="360"/>
      </w:pPr>
      <w:r>
        <w:rPr>
          <w:rFonts w:ascii="Arial" w:hAnsi="Arial"/>
          <w:b w:val="0"/>
          <w:i w:val="0"/>
          <w:color w:val="000000"/>
          <w:sz w:val="22"/>
        </w:rPr>
        <w:t>Website body text: 18 pixels minimum on desktop and 17 pixels minimum on phones.</w:t>
      </w:r>
    </w:p>
    <w:p>
      <w:pPr>
        <w:pStyle w:val="ListBullet"/>
        <w:ind w:left="720" w:hanging="360"/>
      </w:pPr>
      <w:r>
        <w:rPr>
          <w:rFonts w:ascii="Arial" w:hAnsi="Arial"/>
          <w:b w:val="0"/>
          <w:i w:val="0"/>
          <w:color w:val="000000"/>
          <w:sz w:val="22"/>
        </w:rPr>
        <w:t>Section labels: 16 pixels minimum, high contrast, and never the only location of important meaning.</w:t>
      </w:r>
    </w:p>
    <w:p>
      <w:pPr>
        <w:pStyle w:val="ListBullet"/>
        <w:ind w:left="720" w:hanging="360"/>
      </w:pPr>
      <w:r>
        <w:rPr>
          <w:rFonts w:ascii="Arial" w:hAnsi="Arial"/>
          <w:b w:val="0"/>
          <w:i w:val="0"/>
          <w:color w:val="000000"/>
          <w:sz w:val="22"/>
        </w:rPr>
        <w:t>Buttons: 18 pixels minimum with a 44 by 44 pixel minimum target.</w:t>
      </w:r>
    </w:p>
    <w:p>
      <w:pPr>
        <w:pStyle w:val="ListBullet"/>
        <w:ind w:left="720" w:hanging="360"/>
      </w:pPr>
      <w:r>
        <w:rPr>
          <w:rFonts w:ascii="Arial" w:hAnsi="Arial"/>
          <w:b w:val="0"/>
          <w:i w:val="0"/>
          <w:color w:val="000000"/>
          <w:sz w:val="22"/>
        </w:rPr>
        <w:t>Headline scale: use responsive clamp values, approximately 48 to 88 pixels for the hero and 42 to 68 pixels for major sections.</w:t>
      </w:r>
    </w:p>
    <w:p>
      <w:pPr>
        <w:pStyle w:val="ListBullet"/>
        <w:ind w:left="720" w:hanging="360"/>
      </w:pPr>
      <w:r>
        <w:rPr>
          <w:rFonts w:ascii="Arial" w:hAnsi="Arial"/>
          <w:b w:val="0"/>
          <w:i w:val="0"/>
          <w:color w:val="000000"/>
          <w:sz w:val="22"/>
        </w:rPr>
        <w:t>Core palette: deep green #063C33, teal #008F87, warm ivory #F6F0E5, charcoal #1D2A27, and gold #E4A11B. Safety stop uses charcoal or aubergine, not another green.</w:t>
      </w:r>
    </w:p>
    <w:p>
      <w:pPr>
        <w:pStyle w:val="ListBullet"/>
        <w:ind w:left="720" w:hanging="360"/>
      </w:pPr>
      <w:r>
        <w:rPr>
          <w:rFonts w:ascii="Arial" w:hAnsi="Arial"/>
          <w:b w:val="0"/>
          <w:i w:val="0"/>
          <w:color w:val="000000"/>
          <w:sz w:val="22"/>
        </w:rPr>
        <w:t>Text and controls meet WCAG AA contrast. Interactions work with keyboard and screen reader. Motion respects reduced-motion settings. Video includes captions and transcript.</w:t>
      </w:r>
    </w:p>
    <w:p>
      <w:pPr>
        <w:pStyle w:val="Heading2"/>
      </w:pPr>
      <w:r>
        <w:t>9.8 Prohibited page patterns</w:t>
      </w:r>
    </w:p>
    <w:p>
      <w:pPr>
        <w:pStyle w:val="ListBullet"/>
        <w:ind w:left="720" w:hanging="360"/>
      </w:pPr>
      <w:r>
        <w:rPr>
          <w:rFonts w:ascii="Arial" w:hAnsi="Arial"/>
          <w:b w:val="0"/>
          <w:i w:val="0"/>
          <w:color w:val="000000"/>
          <w:sz w:val="22"/>
        </w:rPr>
        <w:t>Horizontal scrolling menus or carousels.</w:t>
      </w:r>
    </w:p>
    <w:p>
      <w:pPr>
        <w:pStyle w:val="ListBullet"/>
        <w:ind w:left="720" w:hanging="360"/>
      </w:pPr>
      <w:r>
        <w:rPr>
          <w:rFonts w:ascii="Arial" w:hAnsi="Arial"/>
          <w:b w:val="0"/>
          <w:i w:val="0"/>
          <w:color w:val="000000"/>
          <w:sz w:val="22"/>
        </w:rPr>
        <w:t>All tabs or steps displayed at the same time.</w:t>
      </w:r>
    </w:p>
    <w:p>
      <w:pPr>
        <w:pStyle w:val="ListBullet"/>
        <w:ind w:left="720" w:hanging="360"/>
      </w:pPr>
      <w:r>
        <w:rPr>
          <w:rFonts w:ascii="Arial" w:hAnsi="Arial"/>
          <w:b w:val="0"/>
          <w:i w:val="0"/>
          <w:color w:val="000000"/>
          <w:sz w:val="22"/>
        </w:rPr>
        <w:t>Decorative empty panels that do not support the current section.</w:t>
      </w:r>
    </w:p>
    <w:p>
      <w:pPr>
        <w:pStyle w:val="ListBullet"/>
        <w:ind w:left="720" w:hanging="360"/>
      </w:pPr>
      <w:r>
        <w:rPr>
          <w:rFonts w:ascii="Arial" w:hAnsi="Arial"/>
          <w:b w:val="0"/>
          <w:i w:val="0"/>
          <w:color w:val="000000"/>
          <w:sz w:val="22"/>
        </w:rPr>
        <w:t>Small blue labels that carry essential meaning.</w:t>
      </w:r>
    </w:p>
    <w:p>
      <w:pPr>
        <w:pStyle w:val="ListBullet"/>
        <w:ind w:left="720" w:hanging="360"/>
      </w:pPr>
      <w:r>
        <w:rPr>
          <w:rFonts w:ascii="Arial" w:hAnsi="Arial"/>
          <w:b w:val="0"/>
          <w:i w:val="0"/>
          <w:color w:val="000000"/>
          <w:sz w:val="22"/>
        </w:rPr>
        <w:t>Color-only safety feedback.</w:t>
      </w:r>
    </w:p>
    <w:p>
      <w:pPr>
        <w:pStyle w:val="ListBullet"/>
        <w:ind w:left="720" w:hanging="360"/>
      </w:pPr>
      <w:r>
        <w:rPr>
          <w:rFonts w:ascii="Arial" w:hAnsi="Arial"/>
          <w:b w:val="0"/>
          <w:i w:val="0"/>
          <w:color w:val="000000"/>
          <w:sz w:val="22"/>
        </w:rPr>
        <w:t>Large unbroken text blocks before a concrete visual.</w:t>
      </w:r>
    </w:p>
    <w:p>
      <w:pPr>
        <w:pStyle w:val="ListBullet"/>
        <w:ind w:left="720" w:hanging="360"/>
      </w:pPr>
      <w:r>
        <w:rPr>
          <w:rFonts w:ascii="Arial" w:hAnsi="Arial"/>
          <w:b w:val="0"/>
          <w:i w:val="0"/>
          <w:color w:val="000000"/>
          <w:sz w:val="22"/>
        </w:rPr>
        <w:t>Public ZIP downloads, complete curriculum downloads, or a resource-hub wall.</w:t>
      </w:r>
    </w:p>
    <w:p>
      <w:pPr>
        <w:pStyle w:val="ListBullet"/>
        <w:ind w:left="720" w:hanging="360"/>
      </w:pPr>
      <w:r>
        <w:rPr>
          <w:rFonts w:ascii="Arial" w:hAnsi="Arial"/>
          <w:b w:val="0"/>
          <w:i w:val="0"/>
          <w:color w:val="000000"/>
          <w:sz w:val="22"/>
        </w:rPr>
        <w:t>Claims that imply guaranteed time savings, compliance certification, or New York teacher licensure.</w:t>
      </w:r>
    </w:p>
    <w:p>
      <w:pPr>
        <w:pStyle w:val="Heading1"/>
      </w:pPr>
      <w:r>
        <w:t>10. Content access and distribution</w:t>
      </w:r>
    </w:p>
    <w:p>
      <w:pPr>
        <w:pStyle w:val="Heading2"/>
      </w:pPr>
      <w:r>
        <w:t>10.1 Public</w:t>
      </w:r>
    </w:p>
    <w:p>
      <w:pPr>
        <w:pStyle w:val="ListBullet"/>
        <w:ind w:left="720" w:hanging="360"/>
      </w:pPr>
      <w:r>
        <w:rPr>
          <w:rFonts w:ascii="Arial" w:hAnsi="Arial"/>
          <w:b w:val="0"/>
          <w:i w:val="0"/>
          <w:color w:val="000000"/>
          <w:sz w:val="22"/>
        </w:rPr>
        <w:t>Sales page.</w:t>
      </w:r>
    </w:p>
    <w:p>
      <w:pPr>
        <w:pStyle w:val="ListBullet"/>
        <w:ind w:left="720" w:hanging="360"/>
      </w:pPr>
      <w:r>
        <w:rPr>
          <w:rFonts w:ascii="Arial" w:hAnsi="Arial"/>
          <w:b w:val="0"/>
          <w:i w:val="0"/>
          <w:color w:val="000000"/>
          <w:sz w:val="22"/>
        </w:rPr>
        <w:t>Interactive or recorded finished-product demonstration.</w:t>
      </w:r>
    </w:p>
    <w:p>
      <w:pPr>
        <w:pStyle w:val="ListBullet"/>
        <w:ind w:left="720" w:hanging="360"/>
      </w:pPr>
      <w:r>
        <w:rPr>
          <w:rFonts w:ascii="Arial" w:hAnsi="Arial"/>
          <w:b w:val="0"/>
          <w:i w:val="0"/>
          <w:color w:val="000000"/>
          <w:sz w:val="22"/>
        </w:rPr>
        <w:t>One completed sample assistant setup.</w:t>
      </w:r>
    </w:p>
    <w:p>
      <w:pPr>
        <w:pStyle w:val="ListBullet"/>
        <w:ind w:left="720" w:hanging="360"/>
      </w:pPr>
      <w:r>
        <w:rPr>
          <w:rFonts w:ascii="Arial" w:hAnsi="Arial"/>
          <w:b w:val="0"/>
          <w:i w:val="0"/>
          <w:color w:val="000000"/>
          <w:sz w:val="22"/>
        </w:rPr>
        <w:t>One concise pilot overview.</w:t>
      </w:r>
    </w:p>
    <w:p>
      <w:pPr>
        <w:pStyle w:val="ListBullet"/>
        <w:ind w:left="720" w:hanging="360"/>
      </w:pPr>
      <w:r>
        <w:rPr>
          <w:rFonts w:ascii="Arial" w:hAnsi="Arial"/>
          <w:b w:val="0"/>
          <w:i w:val="0"/>
          <w:color w:val="000000"/>
          <w:sz w:val="22"/>
        </w:rPr>
        <w:t>About, CV, and contact links.</w:t>
      </w:r>
    </w:p>
    <w:p>
      <w:pPr>
        <w:pStyle w:val="Heading2"/>
      </w:pPr>
      <w:r>
        <w:t>10.2 After inquiry or during a fit conversation</w:t>
      </w:r>
    </w:p>
    <w:p>
      <w:pPr>
        <w:pStyle w:val="ListBullet"/>
        <w:ind w:left="720" w:hanging="360"/>
      </w:pPr>
      <w:r>
        <w:rPr>
          <w:rFonts w:ascii="Arial" w:hAnsi="Arial"/>
          <w:b w:val="0"/>
          <w:i w:val="0"/>
          <w:color w:val="000000"/>
          <w:sz w:val="22"/>
        </w:rPr>
        <w:t>Pilot overview.</w:t>
      </w:r>
    </w:p>
    <w:p>
      <w:pPr>
        <w:pStyle w:val="ListBullet"/>
        <w:ind w:left="720" w:hanging="360"/>
      </w:pPr>
      <w:r>
        <w:rPr>
          <w:rFonts w:ascii="Arial" w:hAnsi="Arial"/>
          <w:b w:val="0"/>
          <w:i w:val="0"/>
          <w:color w:val="000000"/>
          <w:sz w:val="22"/>
        </w:rPr>
        <w:t>Leadership readiness checklist.</w:t>
      </w:r>
    </w:p>
    <w:p>
      <w:pPr>
        <w:pStyle w:val="ListBullet"/>
        <w:ind w:left="720" w:hanging="360"/>
      </w:pPr>
      <w:r>
        <w:rPr>
          <w:rFonts w:ascii="Arial" w:hAnsi="Arial"/>
          <w:b w:val="0"/>
          <w:i w:val="0"/>
          <w:color w:val="000000"/>
          <w:sz w:val="22"/>
        </w:rPr>
        <w:t>One completed sample if the decision-maker has not seen it on the page.</w:t>
      </w:r>
    </w:p>
    <w:p>
      <w:pPr>
        <w:pStyle w:val="Heading2"/>
      </w:pPr>
      <w:r>
        <w:t>10.3 After booking</w:t>
      </w:r>
    </w:p>
    <w:p>
      <w:pPr>
        <w:pStyle w:val="ListBullet"/>
        <w:ind w:left="720" w:hanging="360"/>
      </w:pPr>
      <w:r>
        <w:rPr>
          <w:rFonts w:ascii="Arial" w:hAnsi="Arial"/>
          <w:b w:val="0"/>
          <w:i w:val="0"/>
          <w:color w:val="000000"/>
          <w:sz w:val="22"/>
        </w:rPr>
        <w:t>Teacher preparation sheet.</w:t>
      </w:r>
    </w:p>
    <w:p>
      <w:pPr>
        <w:pStyle w:val="ListBullet"/>
        <w:ind w:left="720" w:hanging="360"/>
      </w:pPr>
      <w:r>
        <w:rPr>
          <w:rFonts w:ascii="Arial" w:hAnsi="Arial"/>
          <w:b w:val="0"/>
          <w:i w:val="0"/>
          <w:color w:val="000000"/>
          <w:sz w:val="22"/>
        </w:rPr>
        <w:t>Participant workbook.</w:t>
      </w:r>
    </w:p>
    <w:p>
      <w:pPr>
        <w:pStyle w:val="ListBullet"/>
        <w:ind w:left="720" w:hanging="360"/>
      </w:pPr>
      <w:r>
        <w:rPr>
          <w:rFonts w:ascii="Arial" w:hAnsi="Arial"/>
          <w:b w:val="0"/>
          <w:i w:val="0"/>
          <w:color w:val="000000"/>
          <w:sz w:val="22"/>
        </w:rPr>
        <w:t>Practice lesson setup pack.</w:t>
      </w:r>
    </w:p>
    <w:p>
      <w:pPr>
        <w:pStyle w:val="ListBullet"/>
        <w:ind w:left="720" w:hanging="360"/>
      </w:pPr>
      <w:r>
        <w:rPr>
          <w:rFonts w:ascii="Arial" w:hAnsi="Arial"/>
          <w:b w:val="0"/>
          <w:i w:val="0"/>
          <w:color w:val="000000"/>
          <w:sz w:val="22"/>
        </w:rPr>
        <w:t>Safety and review card.</w:t>
      </w:r>
    </w:p>
    <w:p>
      <w:pPr>
        <w:pStyle w:val="ListBullet"/>
        <w:ind w:left="720" w:hanging="360"/>
      </w:pPr>
      <w:r>
        <w:rPr>
          <w:rFonts w:ascii="Arial" w:hAnsi="Arial"/>
          <w:b w:val="0"/>
          <w:i w:val="0"/>
          <w:color w:val="000000"/>
          <w:sz w:val="22"/>
        </w:rPr>
        <w:t>Platform-specific setup card for the school's selected tool.</w:t>
      </w:r>
    </w:p>
    <w:p>
      <w:pPr>
        <w:pStyle w:val="ListBullet"/>
        <w:ind w:left="720" w:hanging="360"/>
      </w:pPr>
      <w:r>
        <w:rPr>
          <w:rFonts w:ascii="Arial" w:hAnsi="Arial"/>
          <w:b w:val="0"/>
          <w:i w:val="0"/>
          <w:color w:val="000000"/>
          <w:sz w:val="22"/>
        </w:rPr>
        <w:t>Follow-up instructions and measurement log.</w:t>
      </w:r>
    </w:p>
    <w:p>
      <w:pPr>
        <w:pStyle w:val="Heading2"/>
      </w:pPr>
      <w:r>
        <w:t>10.4 Andrew and approved co-facilitators only</w:t>
      </w:r>
    </w:p>
    <w:p>
      <w:pPr>
        <w:pStyle w:val="ListBullet"/>
        <w:ind w:left="720" w:hanging="360"/>
      </w:pPr>
      <w:r>
        <w:rPr>
          <w:rFonts w:ascii="Arial" w:hAnsi="Arial"/>
          <w:b w:val="0"/>
          <w:i w:val="0"/>
          <w:color w:val="000000"/>
          <w:sz w:val="22"/>
        </w:rPr>
        <w:t>Facilitator playbook and minute-by-minute run sheet.</w:t>
      </w:r>
    </w:p>
    <w:p>
      <w:pPr>
        <w:pStyle w:val="ListBullet"/>
        <w:ind w:left="720" w:hanging="360"/>
      </w:pPr>
      <w:r>
        <w:rPr>
          <w:rFonts w:ascii="Arial" w:hAnsi="Arial"/>
          <w:b w:val="0"/>
          <w:i w:val="0"/>
          <w:color w:val="000000"/>
          <w:sz w:val="22"/>
        </w:rPr>
        <w:t>Slide deck and demonstration script.</w:t>
      </w:r>
    </w:p>
    <w:p>
      <w:pPr>
        <w:pStyle w:val="ListBullet"/>
        <w:ind w:left="720" w:hanging="360"/>
      </w:pPr>
      <w:r>
        <w:rPr>
          <w:rFonts w:ascii="Arial" w:hAnsi="Arial"/>
          <w:b w:val="0"/>
          <w:i w:val="0"/>
          <w:color w:val="000000"/>
          <w:sz w:val="22"/>
        </w:rPr>
        <w:t>Practice answer key and troubleshooting guide.</w:t>
      </w:r>
    </w:p>
    <w:p>
      <w:pPr>
        <w:pStyle w:val="ListBullet"/>
        <w:ind w:left="720" w:hanging="360"/>
      </w:pPr>
      <w:r>
        <w:rPr>
          <w:rFonts w:ascii="Arial" w:hAnsi="Arial"/>
          <w:b w:val="0"/>
          <w:i w:val="0"/>
          <w:color w:val="000000"/>
          <w:sz w:val="22"/>
        </w:rPr>
        <w:t>Platform adapter instructions and evaluation cases.</w:t>
      </w:r>
    </w:p>
    <w:p>
      <w:pPr>
        <w:pStyle w:val="ListBullet"/>
        <w:ind w:left="720" w:hanging="360"/>
      </w:pPr>
      <w:r>
        <w:rPr>
          <w:rFonts w:ascii="Arial" w:hAnsi="Arial"/>
          <w:b w:val="0"/>
          <w:i w:val="0"/>
          <w:color w:val="000000"/>
          <w:sz w:val="22"/>
        </w:rPr>
        <w:t>Outreach scripts, intake form, pricing notes, and prospect tracker.</w:t>
      </w:r>
    </w:p>
    <w:p>
      <w:pPr>
        <w:pStyle w:val="ListBullet"/>
        <w:ind w:left="720" w:hanging="360"/>
      </w:pPr>
      <w:r>
        <w:rPr>
          <w:rFonts w:ascii="Arial" w:hAnsi="Arial"/>
          <w:b w:val="0"/>
          <w:i w:val="0"/>
          <w:color w:val="000000"/>
          <w:sz w:val="22"/>
        </w:rPr>
        <w:t>Codex skill, agent specification, source files, and build scripts.</w:t>
      </w:r>
    </w:p>
    <w:p>
      <w:pPr>
        <w:pStyle w:val="Heading1"/>
      </w:pPr>
      <w:r>
        <w:t>11. Document suite to rebuild</w:t>
      </w:r>
    </w:p>
    <w:p>
      <w:pPr>
        <w:keepLines w:val="0"/>
      </w:pPr>
      <w:r>
        <w:rPr>
          <w:rFonts w:ascii="Arial" w:hAnsi="Arial"/>
          <w:b w:val="0"/>
          <w:i w:val="0"/>
          <w:color w:val="000000"/>
          <w:sz w:val="22"/>
        </w:rPr>
        <w:t>The existing PDFs are prototypes and are not sent or promoted after this specification is approved. The rebuilt suite contains only the following documents.</w:t>
      </w:r>
    </w:p>
    <w:tbl>
      <w:tblPr>
        <w:tblStyle w:val="TableGrid"/>
        <w:tblW w:type="dxa" w:w="9360"/>
        <w:tblLayout w:type="fixed"/>
        <w:tblLook w:firstColumn="1" w:firstRow="1" w:lastColumn="0" w:lastRow="0" w:noHBand="0" w:noVBand="1" w:val="04A0"/>
        <w:tblInd w:w="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1750"/>
        <w:gridCol w:w="1900"/>
        <w:gridCol w:w="1600"/>
        <w:gridCol w:w="4110"/>
      </w:tblGrid>
      <w:tr>
        <w:trPr>
          <w:tblHeader w:val="true"/>
          <w:cantSplit/>
        </w:trPr>
        <w:tc>
          <w:tcPr>
            <w:tcW w:type="dxa" w:w="1750"/>
            <w:tcMar>
              <w:top w:w="80" w:type="dxa"/>
              <w:start w:w="120" w:type="dxa"/>
              <w:bottom w:w="80" w:type="dxa"/>
              <w:end w:w="120" w:type="dxa"/>
            </w:tcMar>
            <w:vAlign w:val="center"/>
          </w:tcPr>
          <w:p>
            <w:pPr>
              <w:spacing w:before="0" w:after="0" w:line="276" w:lineRule="auto"/>
            </w:pPr>
            <w:r>
              <w:rPr>
                <w:rFonts w:ascii="Arial" w:hAnsi="Arial"/>
                <w:b/>
                <w:i w:val="0"/>
                <w:color w:val="000000"/>
                <w:sz w:val="21"/>
              </w:rPr>
              <w:t>Document</w:t>
            </w:r>
          </w:p>
        </w:tc>
        <w:tc>
          <w:tcPr>
            <w:tcW w:type="dxa" w:w="1900"/>
            <w:tcMar>
              <w:top w:w="80" w:type="dxa"/>
              <w:start w:w="120" w:type="dxa"/>
              <w:bottom w:w="80" w:type="dxa"/>
              <w:end w:w="120" w:type="dxa"/>
            </w:tcMar>
            <w:vAlign w:val="center"/>
          </w:tcPr>
          <w:p>
            <w:pPr>
              <w:spacing w:before="0" w:after="0" w:line="276" w:lineRule="auto"/>
            </w:pPr>
            <w:r>
              <w:rPr>
                <w:rFonts w:ascii="Arial" w:hAnsi="Arial"/>
                <w:b/>
                <w:i w:val="0"/>
                <w:color w:val="000000"/>
                <w:sz w:val="21"/>
              </w:rPr>
              <w:t>Audience</w:t>
            </w:r>
          </w:p>
        </w:tc>
        <w:tc>
          <w:tcPr>
            <w:tcW w:type="dxa" w:w="1600"/>
            <w:tcMar>
              <w:top w:w="80" w:type="dxa"/>
              <w:start w:w="120" w:type="dxa"/>
              <w:bottom w:w="80" w:type="dxa"/>
              <w:end w:w="120" w:type="dxa"/>
            </w:tcMar>
            <w:vAlign w:val="center"/>
          </w:tcPr>
          <w:p>
            <w:pPr>
              <w:spacing w:before="0" w:after="0" w:line="276" w:lineRule="auto"/>
            </w:pPr>
            <w:r>
              <w:rPr>
                <w:rFonts w:ascii="Arial" w:hAnsi="Arial"/>
                <w:b/>
                <w:i w:val="0"/>
                <w:color w:val="000000"/>
                <w:sz w:val="21"/>
              </w:rPr>
              <w:t>When</w:t>
            </w:r>
          </w:p>
        </w:tc>
        <w:tc>
          <w:tcPr>
            <w:tcW w:type="dxa" w:w="4110"/>
            <w:tcMar>
              <w:top w:w="80" w:type="dxa"/>
              <w:start w:w="120" w:type="dxa"/>
              <w:bottom w:w="80" w:type="dxa"/>
              <w:end w:w="120" w:type="dxa"/>
            </w:tcMar>
            <w:vAlign w:val="center"/>
          </w:tcPr>
          <w:p>
            <w:pPr>
              <w:spacing w:before="0" w:after="0" w:line="276" w:lineRule="auto"/>
            </w:pPr>
            <w:r>
              <w:rPr>
                <w:rFonts w:ascii="Arial" w:hAnsi="Arial"/>
                <w:b/>
                <w:i w:val="0"/>
                <w:color w:val="000000"/>
                <w:sz w:val="21"/>
              </w:rPr>
              <w:t>Requirement</w:t>
            </w:r>
          </w:p>
        </w:tc>
      </w:tr>
      <w:tr>
        <w:trPr>
          <w:cantSplit/>
        </w:trPr>
        <w:tc>
          <w:tcPr>
            <w:tcW w:type="dxa" w:w="17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Pilot overview</w:t>
            </w:r>
          </w:p>
        </w:tc>
        <w:tc>
          <w:tcPr>
            <w:tcW w:type="dxa" w:w="19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Decision-maker</w:t>
            </w:r>
          </w:p>
        </w:tc>
        <w:tc>
          <w:tcPr>
            <w:tcW w:type="dxa" w:w="16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Public or first contact</w:t>
            </w:r>
          </w:p>
        </w:tc>
        <w:tc>
          <w:tcPr>
            <w:tcW w:type="dxa" w:w="411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Two pages maximum. Problem, outcome, readiness, 45 + 90 + 30 format, cohort, price, and next step.</w:t>
            </w:r>
          </w:p>
        </w:tc>
      </w:tr>
      <w:tr>
        <w:trPr>
          <w:cantSplit/>
        </w:trPr>
        <w:tc>
          <w:tcPr>
            <w:tcW w:type="dxa" w:w="17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Leadership readiness checklist</w:t>
            </w:r>
          </w:p>
        </w:tc>
        <w:tc>
          <w:tcPr>
            <w:tcW w:type="dxa" w:w="19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Sponsor and responsible leaders</w:t>
            </w:r>
          </w:p>
        </w:tc>
        <w:tc>
          <w:tcPr>
            <w:tcW w:type="dxa" w:w="16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After inquiry or booking</w:t>
            </w:r>
          </w:p>
        </w:tc>
        <w:tc>
          <w:tcPr>
            <w:tcW w:type="dxa" w:w="411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Tool, account, policy contact, participant access, logistics, and boundaries.</w:t>
            </w:r>
          </w:p>
        </w:tc>
      </w:tr>
      <w:tr>
        <w:trPr>
          <w:cantSplit/>
        </w:trPr>
        <w:tc>
          <w:tcPr>
            <w:tcW w:type="dxa" w:w="17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Participant workbook</w:t>
            </w:r>
          </w:p>
        </w:tc>
        <w:tc>
          <w:tcPr>
            <w:tcW w:type="dxa" w:w="19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Teachers</w:t>
            </w:r>
          </w:p>
        </w:tc>
        <w:tc>
          <w:tcPr>
            <w:tcW w:type="dxa" w:w="16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At the session</w:t>
            </w:r>
          </w:p>
        </w:tc>
        <w:tc>
          <w:tcPr>
            <w:tcW w:type="dxa" w:w="411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Eight to ten pages with generous writing space, the five-part setup, practice, review, and two-week log.</w:t>
            </w:r>
          </w:p>
        </w:tc>
      </w:tr>
      <w:tr>
        <w:trPr>
          <w:cantSplit/>
        </w:trPr>
        <w:tc>
          <w:tcPr>
            <w:tcW w:type="dxa" w:w="17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Practice lesson setup pack</w:t>
            </w:r>
          </w:p>
        </w:tc>
        <w:tc>
          <w:tcPr>
            <w:tcW w:type="dxa" w:w="19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Teachers</w:t>
            </w:r>
          </w:p>
        </w:tc>
        <w:tc>
          <w:tcPr>
            <w:tcW w:type="dxa" w:w="16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Practice step only</w:t>
            </w:r>
          </w:p>
        </w:tc>
        <w:tc>
          <w:tcPr>
            <w:tcW w:type="dxa" w:w="411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Four to six pages of rough notes, blank format, safe source facts, missing-information challenge, and completed comparison.</w:t>
            </w:r>
          </w:p>
        </w:tc>
      </w:tr>
      <w:tr>
        <w:trPr>
          <w:cantSplit/>
        </w:trPr>
        <w:tc>
          <w:tcPr>
            <w:tcW w:type="dxa" w:w="17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Safety and review card</w:t>
            </w:r>
          </w:p>
        </w:tc>
        <w:tc>
          <w:tcPr>
            <w:tcW w:type="dxa" w:w="19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Teachers</w:t>
            </w:r>
          </w:p>
        </w:tc>
        <w:tc>
          <w:tcPr>
            <w:tcW w:type="dxa" w:w="16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During and after the lab</w:t>
            </w:r>
          </w:p>
        </w:tc>
        <w:tc>
          <w:tcPr>
            <w:tcW w:type="dxa" w:w="411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One double-sided page with Ready, Ask first, Not used, and the five-question human review.</w:t>
            </w:r>
          </w:p>
        </w:tc>
      </w:tr>
      <w:tr>
        <w:trPr>
          <w:cantSplit/>
        </w:trPr>
        <w:tc>
          <w:tcPr>
            <w:tcW w:type="dxa" w:w="17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Platform setup card</w:t>
            </w:r>
          </w:p>
        </w:tc>
        <w:tc>
          <w:tcPr>
            <w:tcW w:type="dxa" w:w="19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Teachers</w:t>
            </w:r>
          </w:p>
        </w:tc>
        <w:tc>
          <w:tcPr>
            <w:tcW w:type="dxa" w:w="16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After the school selects a tool</w:t>
            </w:r>
          </w:p>
        </w:tc>
        <w:tc>
          <w:tcPr>
            <w:tcW w:type="dxa" w:w="411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One or two pages for the actual platform and account. Screenshots must match the tested interface.</w:t>
            </w:r>
          </w:p>
        </w:tc>
      </w:tr>
      <w:tr>
        <w:trPr>
          <w:cantSplit/>
        </w:trPr>
        <w:tc>
          <w:tcPr>
            <w:tcW w:type="dxa" w:w="17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Facilitator playbook</w:t>
            </w:r>
          </w:p>
        </w:tc>
        <w:tc>
          <w:tcPr>
            <w:tcW w:type="dxa" w:w="19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Andrew and approved co-facilitator</w:t>
            </w:r>
          </w:p>
        </w:tc>
        <w:tc>
          <w:tcPr>
            <w:tcW w:type="dxa" w:w="16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Internal</w:t>
            </w:r>
          </w:p>
        </w:tc>
        <w:tc>
          <w:tcPr>
            <w:tcW w:type="dxa" w:w="411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Facilitation script, timing, visuals, likely questions, fallback plan, answer key, and follow-up.</w:t>
            </w:r>
          </w:p>
        </w:tc>
      </w:tr>
      <w:tr>
        <w:trPr>
          <w:cantSplit/>
        </w:trPr>
        <w:tc>
          <w:tcPr>
            <w:tcW w:type="dxa" w:w="175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Pilot learning summary</w:t>
            </w:r>
          </w:p>
        </w:tc>
        <w:tc>
          <w:tcPr>
            <w:tcW w:type="dxa" w:w="19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School sponsor</w:t>
            </w:r>
          </w:p>
        </w:tc>
        <w:tc>
          <w:tcPr>
            <w:tcW w:type="dxa" w:w="160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After follow-up</w:t>
            </w:r>
          </w:p>
        </w:tc>
        <w:tc>
          <w:tcPr>
            <w:tcW w:type="dxa" w:w="4110"/>
            <w:tcMar>
              <w:top w:w="80" w:type="dxa"/>
              <w:start w:w="120" w:type="dxa"/>
              <w:bottom w:w="80" w:type="dxa"/>
              <w:end w:w="120" w:type="dxa"/>
            </w:tcMar>
            <w:vAlign w:val="center"/>
          </w:tcPr>
          <w:p>
            <w:pPr>
              <w:spacing w:before="0" w:after="0" w:line="276" w:lineRule="auto"/>
            </w:pPr>
            <w:r>
              <w:rPr>
                <w:rFonts w:ascii="Arial" w:hAnsi="Arial"/>
                <w:b w:val="0"/>
                <w:i w:val="0"/>
                <w:color w:val="000000"/>
                <w:sz w:val="21"/>
              </w:rPr>
              <w:t>One or two pages of cohort-level findings, no individual evaluation and no confidential task content.</w:t>
            </w:r>
          </w:p>
        </w:tc>
      </w:tr>
    </w:tbl>
    <w:p>
      <w:pPr>
        <w:pStyle w:val="Heading2"/>
      </w:pPr>
      <w:r>
        <w:t>11.1 Document design requirements</w:t>
      </w:r>
    </w:p>
    <w:p>
      <w:pPr>
        <w:pStyle w:val="ListBullet"/>
        <w:ind w:left="720" w:hanging="360"/>
      </w:pPr>
      <w:r>
        <w:rPr>
          <w:rFonts w:ascii="Arial" w:hAnsi="Arial"/>
          <w:b w:val="0"/>
          <w:i w:val="0"/>
          <w:color w:val="000000"/>
          <w:sz w:val="22"/>
        </w:rPr>
        <w:t>Every document has one audience and one moment of use.</w:t>
      </w:r>
    </w:p>
    <w:p>
      <w:pPr>
        <w:pStyle w:val="ListBullet"/>
        <w:ind w:left="720" w:hanging="360"/>
      </w:pPr>
      <w:r>
        <w:rPr>
          <w:rFonts w:ascii="Arial" w:hAnsi="Arial"/>
          <w:b w:val="0"/>
          <w:i w:val="0"/>
          <w:color w:val="000000"/>
          <w:sz w:val="22"/>
        </w:rPr>
        <w:t>Body type is at least 12 points in participant-facing PDFs; instructional labels are larger.</w:t>
      </w:r>
    </w:p>
    <w:p>
      <w:pPr>
        <w:pStyle w:val="ListBullet"/>
        <w:ind w:left="720" w:hanging="360"/>
      </w:pPr>
      <w:r>
        <w:rPr>
          <w:rFonts w:ascii="Arial" w:hAnsi="Arial"/>
          <w:b w:val="0"/>
          <w:i w:val="0"/>
          <w:color w:val="000000"/>
          <w:sz w:val="22"/>
        </w:rPr>
        <w:t>Layouts vary according to the task: worked example, worksheet, decision map, checklist, or reference card. Repeated generic cards are not a design system.</w:t>
      </w:r>
    </w:p>
    <w:p>
      <w:pPr>
        <w:pStyle w:val="ListBullet"/>
        <w:ind w:left="720" w:hanging="360"/>
      </w:pPr>
      <w:r>
        <w:rPr>
          <w:rFonts w:ascii="Arial" w:hAnsi="Arial"/>
          <w:b w:val="0"/>
          <w:i w:val="0"/>
          <w:color w:val="000000"/>
          <w:sz w:val="22"/>
        </w:rPr>
        <w:t>Teacher-facing examples look like recognizable teacher work, not abstract AI diagrams.</w:t>
      </w:r>
    </w:p>
    <w:p>
      <w:pPr>
        <w:pStyle w:val="ListBullet"/>
        <w:ind w:left="720" w:hanging="360"/>
      </w:pPr>
      <w:r>
        <w:rPr>
          <w:rFonts w:ascii="Arial" w:hAnsi="Arial"/>
          <w:b w:val="0"/>
          <w:i w:val="0"/>
          <w:color w:val="000000"/>
          <w:sz w:val="22"/>
        </w:rPr>
        <w:t>Writing areas are large enough to use in print and on a tablet.</w:t>
      </w:r>
    </w:p>
    <w:p>
      <w:pPr>
        <w:pStyle w:val="ListBullet"/>
        <w:ind w:left="720" w:hanging="360"/>
      </w:pPr>
      <w:r>
        <w:rPr>
          <w:rFonts w:ascii="Arial" w:hAnsi="Arial"/>
          <w:b w:val="0"/>
          <w:i w:val="0"/>
          <w:color w:val="000000"/>
          <w:sz w:val="22"/>
        </w:rPr>
        <w:t>Icons, illustrations, interface captures, and diagrams are art-directed and consistent.</w:t>
      </w:r>
    </w:p>
    <w:p>
      <w:pPr>
        <w:pStyle w:val="ListBullet"/>
        <w:ind w:left="720" w:hanging="360"/>
      </w:pPr>
      <w:r>
        <w:rPr>
          <w:rFonts w:ascii="Arial" w:hAnsi="Arial"/>
          <w:b w:val="0"/>
          <w:i w:val="0"/>
          <w:color w:val="000000"/>
          <w:sz w:val="22"/>
        </w:rPr>
        <w:t>No document relies on color alone, and all links, tags, reading order, contrast, and print output are tested.</w:t>
      </w:r>
    </w:p>
    <w:p>
      <w:pPr>
        <w:pStyle w:val="ListBullet"/>
        <w:ind w:left="720" w:hanging="360"/>
      </w:pPr>
      <w:r>
        <w:rPr>
          <w:rFonts w:ascii="Arial" w:hAnsi="Arial"/>
          <w:b w:val="0"/>
          <w:i w:val="0"/>
          <w:color w:val="000000"/>
          <w:sz w:val="22"/>
        </w:rPr>
        <w:t>Every final PDF is visually inspected page by page at screen size and in a printed test before release.</w:t>
      </w:r>
    </w:p>
    <w:p>
      <w:pPr>
        <w:pStyle w:val="Heading1"/>
      </w:pPr>
      <w:r>
        <w:t>12. Persuasion and trust system</w:t>
      </w:r>
    </w:p>
    <w:p>
      <w:pPr>
        <w:pStyle w:val="Heading2"/>
      </w:pPr>
      <w:r>
        <w:t>12.1 Pathos</w:t>
      </w:r>
    </w:p>
    <w:p>
      <w:pPr>
        <w:keepLines w:val="0"/>
      </w:pPr>
      <w:r>
        <w:rPr>
          <w:rFonts w:ascii="Arial" w:hAnsi="Arial"/>
          <w:b w:val="0"/>
          <w:i w:val="0"/>
          <w:color w:val="000000"/>
          <w:sz w:val="22"/>
        </w:rPr>
        <w:t>Lead with relief: teachers stop rebuilding one piece of work. Address the emotional objection directly: the session will not demand coding, previous AI knowledge, or a long setup process.</w:t>
      </w:r>
    </w:p>
    <w:p>
      <w:pPr>
        <w:pStyle w:val="Heading2"/>
      </w:pPr>
      <w:r>
        <w:t>12.2 Logos</w:t>
      </w:r>
    </w:p>
    <w:p>
      <w:pPr>
        <w:keepLines w:val="0"/>
      </w:pPr>
      <w:r>
        <w:rPr>
          <w:rFonts w:ascii="Arial" w:hAnsi="Arial"/>
          <w:b w:val="0"/>
          <w:i w:val="0"/>
          <w:color w:val="000000"/>
          <w:sz w:val="22"/>
        </w:rPr>
        <w:t>Show the before, setup, output, teacher correction, reuse, schedule, prerequisites, deliverables, and price. A visitor should evaluate the offer without translating vague professional-learning language.</w:t>
      </w:r>
    </w:p>
    <w:p>
      <w:pPr>
        <w:pStyle w:val="Heading2"/>
      </w:pPr>
      <w:r>
        <w:t>12.3 Ethos</w:t>
      </w:r>
    </w:p>
    <w:p>
      <w:pPr>
        <w:keepLines w:val="0"/>
      </w:pPr>
      <w:r>
        <w:rPr>
          <w:rFonts w:ascii="Arial" w:hAnsi="Arial"/>
          <w:b w:val="0"/>
          <w:i w:val="0"/>
          <w:color w:val="000000"/>
          <w:sz w:val="22"/>
        </w:rPr>
        <w:t>Use Andrew's accurate classroom, program-building, facilitation, and systems experience. Show restraint, clear responsibility boundaries, direct source links, and honest measurement. Do not create credibility by overstating credentials or publishing an overwhelming amount of material.</w:t>
      </w:r>
    </w:p>
    <w:p>
      <w:pPr>
        <w:pStyle w:val="Heading2"/>
      </w:pPr>
      <w:r>
        <w:t>12.4 Jobs to Be Done</w:t>
      </w:r>
    </w:p>
    <w:p>
      <w:pPr>
        <w:keepLines w:val="0"/>
      </w:pPr>
      <w:r>
        <w:rPr>
          <w:rFonts w:ascii="Arial" w:hAnsi="Arial"/>
          <w:b w:val="0"/>
          <w:i w:val="0"/>
          <w:color w:val="000000"/>
          <w:sz w:val="22"/>
        </w:rPr>
        <w:t>The school is not purchasing AI knowledge. It is purchasing a smaller, safer way for teachers to stop rebuilding recurring work and for leadership to learn which workflows are worth supporting.</w:t>
      </w:r>
    </w:p>
    <w:p>
      <w:pPr>
        <w:pStyle w:val="Heading2"/>
      </w:pPr>
      <w:r>
        <w:t>12.5 Risk reversal and progressive disclosure</w:t>
      </w:r>
    </w:p>
    <w:p>
      <w:pPr>
        <w:keepLines w:val="0"/>
      </w:pPr>
      <w:r>
        <w:rPr>
          <w:rFonts w:ascii="Arial" w:hAnsi="Arial"/>
          <w:b w:val="0"/>
          <w:i w:val="0"/>
          <w:color w:val="000000"/>
          <w:sz w:val="22"/>
        </w:rPr>
        <w:t>Reduce risk by showing one complete example, naming exactly what is and is not included, and offering a bounded fit conversation. Reveal detail when it is relevant. Do not reduce risk by publishing the complete delivery system.</w:t>
      </w:r>
    </w:p>
    <w:p>
      <w:pPr>
        <w:pStyle w:val="Heading2"/>
      </w:pPr>
      <w:r>
        <w:t>12.6 Claims discipline</w:t>
      </w:r>
    </w:p>
    <w:p>
      <w:pPr>
        <w:pStyle w:val="ListBullet"/>
        <w:ind w:left="720" w:hanging="360"/>
      </w:pPr>
      <w:r>
        <w:rPr>
          <w:rFonts w:ascii="Arial" w:hAnsi="Arial"/>
          <w:b w:val="0"/>
          <w:i w:val="0"/>
          <w:color w:val="000000"/>
          <w:sz w:val="22"/>
        </w:rPr>
        <w:t>The hero uses no numeric time-saving claim.</w:t>
      </w:r>
    </w:p>
    <w:p>
      <w:pPr>
        <w:pStyle w:val="ListBullet"/>
        <w:ind w:left="720" w:hanging="360"/>
      </w:pPr>
      <w:r>
        <w:rPr>
          <w:rFonts w:ascii="Arial" w:hAnsi="Arial"/>
          <w:b w:val="0"/>
          <w:i w:val="0"/>
          <w:color w:val="000000"/>
          <w:sz w:val="22"/>
        </w:rPr>
        <w:t>The Gallup 5.9-hour statistic, if used, is labeled as a 2025 self-estimate among weekly AI users and is not presented as a result of this workshop.</w:t>
      </w:r>
    </w:p>
    <w:p>
      <w:pPr>
        <w:pStyle w:val="ListBullet"/>
        <w:ind w:left="720" w:hanging="360"/>
      </w:pPr>
      <w:r>
        <w:rPr>
          <w:rFonts w:ascii="Arial" w:hAnsi="Arial"/>
          <w:b w:val="0"/>
          <w:i w:val="0"/>
          <w:color w:val="000000"/>
          <w:sz w:val="22"/>
        </w:rPr>
        <w:t>The school pilot reports measured participant estimates only after subtracting correction and review time.</w:t>
      </w:r>
    </w:p>
    <w:p>
      <w:pPr>
        <w:pStyle w:val="ListBullet"/>
        <w:ind w:left="720" w:hanging="360"/>
      </w:pPr>
      <w:r>
        <w:rPr>
          <w:rFonts w:ascii="Arial" w:hAnsi="Arial"/>
          <w:b w:val="0"/>
          <w:i w:val="0"/>
          <w:color w:val="000000"/>
          <w:sz w:val="22"/>
        </w:rPr>
        <w:t>No school, teacher quotation, task example, or result is identified without written permission.</w:t>
      </w:r>
    </w:p>
    <w:p>
      <w:pPr>
        <w:pStyle w:val="ListBullet"/>
        <w:ind w:left="720" w:hanging="360"/>
      </w:pPr>
      <w:r>
        <w:rPr>
          <w:rFonts w:ascii="Arial" w:hAnsi="Arial"/>
          <w:b w:val="0"/>
          <w:i w:val="0"/>
          <w:color w:val="000000"/>
          <w:sz w:val="22"/>
        </w:rPr>
        <w:t>NYC, federal, platform, and pricing references are rechecked before publication and reviewed at least quarterly.</w:t>
      </w:r>
    </w:p>
    <w:p>
      <w:pPr>
        <w:pStyle w:val="Heading1"/>
      </w:pPr>
      <w:r>
        <w:t>13. Required frequently asked questions</w:t>
      </w:r>
    </w:p>
    <w:p>
      <w:pPr>
        <w:pStyle w:val="Heading2"/>
      </w:pPr>
      <w:r>
        <w:t>13.1 Public FAQ answers</w:t>
      </w:r>
    </w:p>
    <w:p>
      <w:pPr>
        <w:pStyle w:val="Heading3"/>
      </w:pPr>
      <w:r>
        <w:t>Do teachers need AI experience?</w:t>
      </w:r>
    </w:p>
    <w:p>
      <w:pPr>
        <w:keepLines w:val="0"/>
      </w:pPr>
      <w:r>
        <w:rPr>
          <w:rFonts w:ascii="Arial" w:hAnsi="Arial"/>
          <w:b w:val="0"/>
          <w:i w:val="0"/>
          <w:color w:val="000000"/>
          <w:sz w:val="22"/>
        </w:rPr>
        <w:t>No. The lab assumes no previous experience. Andrew demonstrates the complete workflow before teachers build anything.</w:t>
      </w:r>
    </w:p>
    <w:p>
      <w:pPr>
        <w:pStyle w:val="Heading3"/>
      </w:pPr>
      <w:r>
        <w:t>What does a teacher need to bring?</w:t>
      </w:r>
    </w:p>
    <w:p>
      <w:pPr>
        <w:keepLines w:val="0"/>
      </w:pPr>
      <w:r>
        <w:rPr>
          <w:rFonts w:ascii="Arial" w:hAnsi="Arial"/>
          <w:b w:val="0"/>
          <w:i w:val="0"/>
          <w:color w:val="000000"/>
          <w:sz w:val="22"/>
        </w:rPr>
        <w:t>A laptop, a working school-permitted account, and one repeated task. Optional rough notes or a blank format may be used if they contain no real student or confidential information.</w:t>
      </w:r>
    </w:p>
    <w:p>
      <w:pPr>
        <w:pStyle w:val="Heading3"/>
      </w:pPr>
      <w:r>
        <w:t>What does a teacher leave with?</w:t>
      </w:r>
    </w:p>
    <w:p>
      <w:pPr>
        <w:keepLines w:val="0"/>
      </w:pPr>
      <w:r>
        <w:rPr>
          <w:rFonts w:ascii="Arial" w:hAnsi="Arial"/>
          <w:b w:val="0"/>
          <w:i w:val="0"/>
          <w:color w:val="000000"/>
          <w:sz w:val="22"/>
        </w:rPr>
        <w:t>One tested and saved assistant setup, one practice result, a review card, and a two-week plan for deciding whether to keep, revise, or stop using it.</w:t>
      </w:r>
    </w:p>
    <w:p>
      <w:pPr>
        <w:pStyle w:val="Heading3"/>
      </w:pPr>
      <w:r>
        <w:t>Is this only for OpenAI products?</w:t>
      </w:r>
    </w:p>
    <w:p>
      <w:pPr>
        <w:keepLines w:val="0"/>
      </w:pPr>
      <w:r>
        <w:rPr>
          <w:rFonts w:ascii="Arial" w:hAnsi="Arial"/>
          <w:b w:val="0"/>
          <w:i w:val="0"/>
          <w:color w:val="000000"/>
          <w:sz w:val="22"/>
        </w:rPr>
        <w:t>No. The method is platform-neutral. The school chooses its permitted product, and the session uses a tested setup card for that product.</w:t>
      </w:r>
    </w:p>
    <w:p>
      <w:pPr>
        <w:pStyle w:val="Heading3"/>
      </w:pPr>
      <w:r>
        <w:t>What if the school has not selected an AI tool?</w:t>
      </w:r>
    </w:p>
    <w:p>
      <w:pPr>
        <w:keepLines w:val="0"/>
      </w:pPr>
      <w:r>
        <w:rPr>
          <w:rFonts w:ascii="Arial" w:hAnsi="Arial"/>
          <w:b w:val="0"/>
          <w:i w:val="0"/>
          <w:color w:val="000000"/>
          <w:sz w:val="22"/>
        </w:rPr>
        <w:t>The teacher lab is not booked yet. Andrew can first hold a leadership readiness conversation, but he does not tell staff to create workaround accounts.</w:t>
      </w:r>
    </w:p>
    <w:p>
      <w:pPr>
        <w:pStyle w:val="Heading3"/>
      </w:pPr>
      <w:r>
        <w:t>Can teachers use real student work if names are removed?</w:t>
      </w:r>
    </w:p>
    <w:p>
      <w:pPr>
        <w:keepLines w:val="0"/>
      </w:pPr>
      <w:r>
        <w:rPr>
          <w:rFonts w:ascii="Arial" w:hAnsi="Arial"/>
          <w:b w:val="0"/>
          <w:i w:val="0"/>
          <w:color w:val="000000"/>
          <w:sz w:val="22"/>
        </w:rPr>
        <w:t>Not in this introductory lab. Codes, initials, small groups, and surrounding details may still identify a student. Student-work analysis requires a separate school-reviewed engagement.</w:t>
      </w:r>
    </w:p>
    <w:p>
      <w:pPr>
        <w:pStyle w:val="Heading3"/>
      </w:pPr>
      <w:r>
        <w:t>Can the assistant track groups or learning trends?</w:t>
      </w:r>
    </w:p>
    <w:p>
      <w:pPr>
        <w:keepLines w:val="0"/>
      </w:pPr>
      <w:r>
        <w:rPr>
          <w:rFonts w:ascii="Arial" w:hAnsi="Arial"/>
          <w:b w:val="0"/>
          <w:i w:val="0"/>
          <w:color w:val="000000"/>
          <w:sz w:val="22"/>
        </w:rPr>
        <w:t>Not in this introductory lab. That may be explored later only with an approved platform, clear educational purpose, leadership ownership, appropriate specialists, and documented data handling.</w:t>
      </w:r>
    </w:p>
    <w:p>
      <w:pPr>
        <w:pStyle w:val="Heading3"/>
      </w:pPr>
      <w:r>
        <w:t>Can it grade or recommend interventions?</w:t>
      </w:r>
    </w:p>
    <w:p>
      <w:pPr>
        <w:keepLines w:val="0"/>
      </w:pPr>
      <w:r>
        <w:rPr>
          <w:rFonts w:ascii="Arial" w:hAnsi="Arial"/>
          <w:b w:val="0"/>
          <w:i w:val="0"/>
          <w:color w:val="000000"/>
          <w:sz w:val="22"/>
        </w:rPr>
        <w:t>No. It may help prepare generic structures or questions, but teachers and qualified school personnel retain grading, placement, intervention, accommodation, discipline, and other student decisions.</w:t>
      </w:r>
    </w:p>
    <w:p>
      <w:pPr>
        <w:pStyle w:val="Heading3"/>
      </w:pPr>
      <w:r>
        <w:t>Can teachers use publisher curriculum?</w:t>
      </w:r>
    </w:p>
    <w:p>
      <w:pPr>
        <w:keepLines w:val="0"/>
      </w:pPr>
      <w:r>
        <w:rPr>
          <w:rFonts w:ascii="Arial" w:hAnsi="Arial"/>
          <w:b w:val="0"/>
          <w:i w:val="0"/>
          <w:color w:val="000000"/>
          <w:sz w:val="22"/>
        </w:rPr>
        <w:t>Only when the school and platform permit that use. The lab does not assume that licensed materials may be uploaded.</w:t>
      </w:r>
    </w:p>
    <w:p>
      <w:pPr>
        <w:pStyle w:val="Heading3"/>
      </w:pPr>
      <w:r>
        <w:t>Does Andrew receive access to school accounts or data?</w:t>
      </w:r>
    </w:p>
    <w:p>
      <w:pPr>
        <w:keepLines w:val="0"/>
      </w:pPr>
      <w:r>
        <w:rPr>
          <w:rFonts w:ascii="Arial" w:hAnsi="Arial"/>
          <w:b w:val="0"/>
          <w:i w:val="0"/>
          <w:color w:val="000000"/>
          <w:sz w:val="22"/>
        </w:rPr>
        <w:t>No. Teachers work in their own school-permitted accounts. The lab uses no student records and Andrew does not request account passwords.</w:t>
      </w:r>
    </w:p>
    <w:p>
      <w:pPr>
        <w:pStyle w:val="Heading3"/>
      </w:pPr>
      <w:r>
        <w:t>Does the lab guarantee a certain amount of time saved?</w:t>
      </w:r>
    </w:p>
    <w:p>
      <w:pPr>
        <w:keepLines w:val="0"/>
      </w:pPr>
      <w:r>
        <w:rPr>
          <w:rFonts w:ascii="Arial" w:hAnsi="Arial"/>
          <w:b w:val="0"/>
          <w:i w:val="0"/>
          <w:color w:val="000000"/>
          <w:sz w:val="22"/>
        </w:rPr>
        <w:t>No. Each participant measures use, correction time, review time, and usefulness for two weeks, then chooses keep, revise, or stop.</w:t>
      </w:r>
    </w:p>
    <w:p>
      <w:pPr>
        <w:pStyle w:val="Heading3"/>
      </w:pPr>
      <w:r>
        <w:t>What happens if the technology fails during the session?</w:t>
      </w:r>
    </w:p>
    <w:p>
      <w:pPr>
        <w:keepLines w:val="0"/>
      </w:pPr>
      <w:r>
        <w:rPr>
          <w:rFonts w:ascii="Arial" w:hAnsi="Arial"/>
          <w:b w:val="0"/>
          <w:i w:val="0"/>
          <w:color w:val="000000"/>
          <w:sz w:val="22"/>
        </w:rPr>
        <w:t>Andrew uses an offline demonstration and paper build activity while the school host addresses access. A participant has not completed the product until the setup is saved and tested in the permitted tool.</w:t>
      </w:r>
    </w:p>
    <w:p>
      <w:pPr>
        <w:pStyle w:val="Heading3"/>
      </w:pPr>
      <w:r>
        <w:t>Is this compliance or legal training?</w:t>
      </w:r>
    </w:p>
    <w:p>
      <w:pPr>
        <w:keepLines w:val="0"/>
      </w:pPr>
      <w:r>
        <w:rPr>
          <w:rFonts w:ascii="Arial" w:hAnsi="Arial"/>
          <w:b w:val="0"/>
          <w:i w:val="0"/>
          <w:color w:val="000000"/>
          <w:sz w:val="22"/>
        </w:rPr>
        <w:t>No. Andrew teaches a bounded workflow and safety routine. School leadership and qualified specialists retain policy, legal, privacy, security, and regulated decisions.</w:t>
      </w:r>
    </w:p>
    <w:p>
      <w:pPr>
        <w:pStyle w:val="Heading1"/>
      </w:pPr>
      <w:r>
        <w:t>14. Measurement and reporting</w:t>
      </w:r>
    </w:p>
    <w:p>
      <w:pPr>
        <w:pStyle w:val="Heading2"/>
      </w:pPr>
      <w:r>
        <w:t>14.1 Participant measurement</w:t>
      </w:r>
    </w:p>
    <w:p>
      <w:pPr>
        <w:pStyle w:val="ListBullet"/>
        <w:ind w:left="720" w:hanging="360"/>
      </w:pPr>
      <w:r>
        <w:rPr>
          <w:rFonts w:ascii="Arial" w:hAnsi="Arial"/>
          <w:b w:val="0"/>
          <w:i w:val="0"/>
          <w:color w:val="000000"/>
          <w:sz w:val="22"/>
        </w:rPr>
        <w:t>Estimated minutes before the assistant.</w:t>
      </w:r>
    </w:p>
    <w:p>
      <w:pPr>
        <w:pStyle w:val="ListBullet"/>
        <w:ind w:left="720" w:hanging="360"/>
      </w:pPr>
      <w:r>
        <w:rPr>
          <w:rFonts w:ascii="Arial" w:hAnsi="Arial"/>
          <w:b w:val="0"/>
          <w:i w:val="0"/>
          <w:color w:val="000000"/>
          <w:sz w:val="22"/>
        </w:rPr>
        <w:t>Minutes using the assistant.</w:t>
      </w:r>
    </w:p>
    <w:p>
      <w:pPr>
        <w:pStyle w:val="ListBullet"/>
        <w:ind w:left="720" w:hanging="360"/>
      </w:pPr>
      <w:r>
        <w:rPr>
          <w:rFonts w:ascii="Arial" w:hAnsi="Arial"/>
          <w:b w:val="0"/>
          <w:i w:val="0"/>
          <w:color w:val="000000"/>
          <w:sz w:val="22"/>
        </w:rPr>
        <w:t>Minutes correcting and reviewing the result.</w:t>
      </w:r>
    </w:p>
    <w:p>
      <w:pPr>
        <w:pStyle w:val="ListBullet"/>
        <w:ind w:left="720" w:hanging="360"/>
      </w:pPr>
      <w:r>
        <w:rPr>
          <w:rFonts w:ascii="Arial" w:hAnsi="Arial"/>
          <w:b w:val="0"/>
          <w:i w:val="0"/>
          <w:color w:val="000000"/>
          <w:sz w:val="22"/>
        </w:rPr>
        <w:t>Number of uses during two weeks.</w:t>
      </w:r>
    </w:p>
    <w:p>
      <w:pPr>
        <w:pStyle w:val="ListBullet"/>
        <w:ind w:left="720" w:hanging="360"/>
      </w:pPr>
      <w:r>
        <w:rPr>
          <w:rFonts w:ascii="Arial" w:hAnsi="Arial"/>
          <w:b w:val="0"/>
          <w:i w:val="0"/>
          <w:color w:val="000000"/>
          <w:sz w:val="22"/>
        </w:rPr>
        <w:t>Useful, partly useful, or discarded result.</w:t>
      </w:r>
    </w:p>
    <w:p>
      <w:pPr>
        <w:pStyle w:val="ListBullet"/>
        <w:ind w:left="720" w:hanging="360"/>
      </w:pPr>
      <w:r>
        <w:rPr>
          <w:rFonts w:ascii="Arial" w:hAnsi="Arial"/>
          <w:b w:val="0"/>
          <w:i w:val="0"/>
          <w:color w:val="000000"/>
          <w:sz w:val="22"/>
        </w:rPr>
        <w:t>Boundary confusion or attempted unsafe input.</w:t>
      </w:r>
    </w:p>
    <w:p>
      <w:pPr>
        <w:pStyle w:val="ListBullet"/>
        <w:ind w:left="720" w:hanging="360"/>
      </w:pPr>
      <w:r>
        <w:rPr>
          <w:rFonts w:ascii="Arial" w:hAnsi="Arial"/>
          <w:b w:val="0"/>
          <w:i w:val="0"/>
          <w:color w:val="000000"/>
          <w:sz w:val="22"/>
        </w:rPr>
        <w:t>Keep, revise, or stop decision.</w:t>
      </w:r>
    </w:p>
    <w:p>
      <w:pPr>
        <w:pStyle w:val="Heading2"/>
      </w:pPr>
      <w:r>
        <w:t>14.2 Reporting rule</w:t>
      </w:r>
    </w:p>
    <w:p>
      <w:pPr>
        <w:keepLines w:val="0"/>
      </w:pPr>
      <w:r>
        <w:rPr>
          <w:rFonts w:ascii="Arial" w:hAnsi="Arial"/>
          <w:b w:val="0"/>
          <w:i w:val="0"/>
          <w:color w:val="000000"/>
          <w:sz w:val="22"/>
        </w:rPr>
        <w:t>Leadership receives cohort-level learning, not individual teacher evaluation. Do not share participant names, task content, or identifiable comments. Do not publish subgroup results when the group is small enough to make a participant recognizable. Report medians and counts with the number of respondents and the measurement method.</w:t>
      </w:r>
    </w:p>
    <w:p>
      <w:pPr>
        <w:pStyle w:val="Heading2"/>
      </w:pPr>
      <w:r>
        <w:t>14.3 Product learning after three pilots</w:t>
      </w:r>
    </w:p>
    <w:p>
      <w:pPr>
        <w:pStyle w:val="ListBullet"/>
        <w:ind w:left="720" w:hanging="360"/>
      </w:pPr>
      <w:r>
        <w:rPr>
          <w:rFonts w:ascii="Arial" w:hAnsi="Arial"/>
          <w:b w:val="0"/>
          <w:i w:val="0"/>
          <w:color w:val="000000"/>
          <w:sz w:val="22"/>
        </w:rPr>
        <w:t>Identify the two most successful starter tasks.</w:t>
      </w:r>
    </w:p>
    <w:p>
      <w:pPr>
        <w:pStyle w:val="ListBullet"/>
        <w:ind w:left="720" w:hanging="360"/>
      </w:pPr>
      <w:r>
        <w:rPr>
          <w:rFonts w:ascii="Arial" w:hAnsi="Arial"/>
          <w:b w:val="0"/>
          <w:i w:val="0"/>
          <w:color w:val="000000"/>
          <w:sz w:val="22"/>
        </w:rPr>
        <w:t>Identify the most common language, access, and privacy confusion.</w:t>
      </w:r>
    </w:p>
    <w:p>
      <w:pPr>
        <w:pStyle w:val="ListBullet"/>
        <w:ind w:left="720" w:hanging="360"/>
      </w:pPr>
      <w:r>
        <w:rPr>
          <w:rFonts w:ascii="Arial" w:hAnsi="Arial"/>
          <w:b w:val="0"/>
          <w:i w:val="0"/>
          <w:color w:val="000000"/>
          <w:sz w:val="22"/>
        </w:rPr>
        <w:t>Compare in-person and virtual delivery friction.</w:t>
      </w:r>
    </w:p>
    <w:p>
      <w:pPr>
        <w:pStyle w:val="ListBullet"/>
        <w:ind w:left="720" w:hanging="360"/>
      </w:pPr>
      <w:r>
        <w:rPr>
          <w:rFonts w:ascii="Arial" w:hAnsi="Arial"/>
          <w:b w:val="0"/>
          <w:i w:val="0"/>
          <w:color w:val="000000"/>
          <w:sz w:val="22"/>
        </w:rPr>
        <w:t>Review the 90-minute pacing and cohort size.</w:t>
      </w:r>
    </w:p>
    <w:p>
      <w:pPr>
        <w:pStyle w:val="ListBullet"/>
        <w:ind w:left="720" w:hanging="360"/>
      </w:pPr>
      <w:r>
        <w:rPr>
          <w:rFonts w:ascii="Arial" w:hAnsi="Arial"/>
          <w:b w:val="0"/>
          <w:i w:val="0"/>
          <w:color w:val="000000"/>
          <w:sz w:val="22"/>
        </w:rPr>
        <w:t>Review price against preparation, delivery, follow-up, and conversion.</w:t>
      </w:r>
    </w:p>
    <w:p>
      <w:pPr>
        <w:pStyle w:val="ListBullet"/>
        <w:ind w:left="720" w:hanging="360"/>
      </w:pPr>
      <w:r>
        <w:rPr>
          <w:rFonts w:ascii="Arial" w:hAnsi="Arial"/>
          <w:b w:val="0"/>
          <w:i w:val="0"/>
          <w:color w:val="000000"/>
          <w:sz w:val="22"/>
        </w:rPr>
        <w:t>Publish proof only with written permission and clear sample context.</w:t>
      </w:r>
    </w:p>
    <w:p>
      <w:pPr>
        <w:pStyle w:val="Heading1"/>
      </w:pPr>
      <w:r>
        <w:t>15. Usability and acceptance gates</w:t>
      </w:r>
    </w:p>
    <w:p>
      <w:pPr>
        <w:pStyle w:val="Heading2"/>
      </w:pPr>
      <w:r>
        <w:t>15.1 Beginner-teacher test</w:t>
      </w:r>
    </w:p>
    <w:p>
      <w:pPr>
        <w:keepLines w:val="0"/>
      </w:pPr>
      <w:r>
        <w:rPr>
          <w:rFonts w:ascii="Arial" w:hAnsi="Arial"/>
          <w:b w:val="0"/>
          <w:i w:val="0"/>
          <w:color w:val="000000"/>
          <w:sz w:val="22"/>
        </w:rPr>
        <w:t>Test with at least two teachers who describe themselves as AI beginners. Without coaching, each participant must be able to:</w:t>
      </w:r>
    </w:p>
    <w:p>
      <w:pPr>
        <w:pStyle w:val="ListBullet"/>
        <w:ind w:left="720" w:hanging="360"/>
      </w:pPr>
      <w:r>
        <w:rPr>
          <w:rFonts w:ascii="Arial" w:hAnsi="Arial"/>
          <w:b w:val="0"/>
          <w:i w:val="0"/>
          <w:color w:val="000000"/>
          <w:sz w:val="22"/>
        </w:rPr>
        <w:t>Explain the offer in one sentence within 60 seconds of opening the page.</w:t>
      </w:r>
    </w:p>
    <w:p>
      <w:pPr>
        <w:pStyle w:val="ListBullet"/>
        <w:ind w:left="720" w:hanging="360"/>
      </w:pPr>
      <w:r>
        <w:rPr>
          <w:rFonts w:ascii="Arial" w:hAnsi="Arial"/>
          <w:b w:val="0"/>
          <w:i w:val="0"/>
          <w:color w:val="000000"/>
          <w:sz w:val="22"/>
        </w:rPr>
        <w:t>Name what they need to bring and what they will leave with.</w:t>
      </w:r>
    </w:p>
    <w:p>
      <w:pPr>
        <w:pStyle w:val="ListBullet"/>
        <w:ind w:left="720" w:hanging="360"/>
      </w:pPr>
      <w:r>
        <w:rPr>
          <w:rFonts w:ascii="Arial" w:hAnsi="Arial"/>
          <w:b w:val="0"/>
          <w:i w:val="0"/>
          <w:color w:val="000000"/>
          <w:sz w:val="22"/>
        </w:rPr>
        <w:t>Complete the finished-product walkthrough.</w:t>
      </w:r>
    </w:p>
    <w:p>
      <w:pPr>
        <w:pStyle w:val="ListBullet"/>
        <w:ind w:left="720" w:hanging="360"/>
      </w:pPr>
      <w:r>
        <w:rPr>
          <w:rFonts w:ascii="Arial" w:hAnsi="Arial"/>
          <w:b w:val="0"/>
          <w:i w:val="0"/>
          <w:color w:val="000000"/>
          <w:sz w:val="22"/>
        </w:rPr>
        <w:t>Recognize that the safety activity contains four questions.</w:t>
      </w:r>
    </w:p>
    <w:p>
      <w:pPr>
        <w:pStyle w:val="ListBullet"/>
        <w:ind w:left="720" w:hanging="360"/>
      </w:pPr>
      <w:r>
        <w:rPr>
          <w:rFonts w:ascii="Arial" w:hAnsi="Arial"/>
          <w:b w:val="0"/>
          <w:i w:val="0"/>
          <w:color w:val="000000"/>
          <w:sz w:val="22"/>
        </w:rPr>
        <w:t>Complete all four questions and understand why each answer is safer.</w:t>
      </w:r>
    </w:p>
    <w:p>
      <w:pPr>
        <w:pStyle w:val="ListBullet"/>
        <w:ind w:left="720" w:hanging="360"/>
      </w:pPr>
      <w:r>
        <w:rPr>
          <w:rFonts w:ascii="Arial" w:hAnsi="Arial"/>
          <w:b w:val="0"/>
          <w:i w:val="0"/>
          <w:color w:val="000000"/>
          <w:sz w:val="22"/>
        </w:rPr>
        <w:t>Explain that no real student information or work is used in the introductory lab.</w:t>
      </w:r>
    </w:p>
    <w:p>
      <w:pPr>
        <w:pStyle w:val="ListBullet"/>
        <w:ind w:left="720" w:hanging="360"/>
      </w:pPr>
      <w:r>
        <w:rPr>
          <w:rFonts w:ascii="Arial" w:hAnsi="Arial"/>
          <w:b w:val="0"/>
          <w:i w:val="0"/>
          <w:color w:val="000000"/>
          <w:sz w:val="22"/>
        </w:rPr>
        <w:t>Locate the price, Andrew's background, and the pilot action.</w:t>
      </w:r>
    </w:p>
    <w:p>
      <w:pPr>
        <w:pStyle w:val="ListBullet"/>
        <w:ind w:left="720" w:hanging="360"/>
      </w:pPr>
      <w:r>
        <w:rPr>
          <w:rFonts w:ascii="Arial" w:hAnsi="Arial"/>
          <w:b w:val="0"/>
          <w:i w:val="0"/>
          <w:color w:val="000000"/>
          <w:sz w:val="22"/>
        </w:rPr>
        <w:t>Describe the assistant without using unexplained terms such as teacher-owned, approved source, fictional material, or blueprint.</w:t>
      </w:r>
    </w:p>
    <w:p>
      <w:pPr>
        <w:pStyle w:val="Heading2"/>
      </w:pPr>
      <w:r>
        <w:t>15.2 School-leader test</w:t>
      </w:r>
    </w:p>
    <w:p>
      <w:pPr>
        <w:keepLines w:val="0"/>
      </w:pPr>
      <w:r>
        <w:rPr>
          <w:rFonts w:ascii="Arial" w:hAnsi="Arial"/>
          <w:b w:val="0"/>
          <w:i w:val="0"/>
          <w:color w:val="000000"/>
          <w:sz w:val="22"/>
        </w:rPr>
        <w:t>Test with at least one principal, professional-learning lead, or instructional technology leader. Without coaching, the leader must identify the product outcome, school prerequisites, responsibility boundary, cohort size, schedule, price, follow-up, and next action.</w:t>
      </w:r>
    </w:p>
    <w:p>
      <w:pPr>
        <w:pStyle w:val="Heading2"/>
      </w:pPr>
      <w:r>
        <w:t>15.3 Website technical gate</w:t>
      </w:r>
    </w:p>
    <w:p>
      <w:pPr>
        <w:pStyle w:val="ListBullet"/>
        <w:ind w:left="720" w:hanging="360"/>
      </w:pPr>
      <w:r>
        <w:rPr>
          <w:rFonts w:ascii="Arial" w:hAnsi="Arial"/>
          <w:b w:val="0"/>
          <w:i w:val="0"/>
          <w:color w:val="000000"/>
          <w:sz w:val="22"/>
        </w:rPr>
        <w:t>Verify at 1440, 1024, 820, and 390 pixel widths.</w:t>
      </w:r>
    </w:p>
    <w:p>
      <w:pPr>
        <w:pStyle w:val="ListBullet"/>
        <w:ind w:left="720" w:hanging="360"/>
      </w:pPr>
      <w:r>
        <w:rPr>
          <w:rFonts w:ascii="Arial" w:hAnsi="Arial"/>
          <w:b w:val="0"/>
          <w:i w:val="0"/>
          <w:color w:val="000000"/>
          <w:sz w:val="22"/>
        </w:rPr>
        <w:t>No horizontal overflow, obscured controls, trapped scrolling, duplicate IDs, broken images, or console errors.</w:t>
      </w:r>
    </w:p>
    <w:p>
      <w:pPr>
        <w:pStyle w:val="ListBullet"/>
        <w:ind w:left="720" w:hanging="360"/>
      </w:pPr>
      <w:r>
        <w:rPr>
          <w:rFonts w:ascii="Arial" w:hAnsi="Arial"/>
          <w:b w:val="0"/>
          <w:i w:val="0"/>
          <w:color w:val="000000"/>
          <w:sz w:val="22"/>
        </w:rPr>
        <w:t>All controls work with keyboard, visible focus, and screen-reader labels.</w:t>
      </w:r>
    </w:p>
    <w:p>
      <w:pPr>
        <w:pStyle w:val="ListBullet"/>
        <w:ind w:left="720" w:hanging="360"/>
      </w:pPr>
      <w:r>
        <w:rPr>
          <w:rFonts w:ascii="Arial" w:hAnsi="Arial"/>
          <w:b w:val="0"/>
          <w:i w:val="0"/>
          <w:color w:val="000000"/>
          <w:sz w:val="22"/>
        </w:rPr>
        <w:t>The center and independent desktop rails remain usable without hiding content or navigation.</w:t>
      </w:r>
    </w:p>
    <w:p>
      <w:pPr>
        <w:pStyle w:val="ListBullet"/>
        <w:ind w:left="720" w:hanging="360"/>
      </w:pPr>
      <w:r>
        <w:rPr>
          <w:rFonts w:ascii="Arial" w:hAnsi="Arial"/>
          <w:b w:val="0"/>
          <w:i w:val="0"/>
          <w:color w:val="000000"/>
          <w:sz w:val="22"/>
        </w:rPr>
        <w:t>Reduced-motion mode removes decorative motion without removing meaning.</w:t>
      </w:r>
    </w:p>
    <w:p>
      <w:pPr>
        <w:pStyle w:val="ListBullet"/>
        <w:ind w:left="720" w:hanging="360"/>
      </w:pPr>
      <w:r>
        <w:rPr>
          <w:rFonts w:ascii="Arial" w:hAnsi="Arial"/>
          <w:b w:val="0"/>
          <w:i w:val="0"/>
          <w:color w:val="000000"/>
          <w:sz w:val="22"/>
        </w:rPr>
        <w:t>Contact forms and messages explicitly warn users not to include student or confidential information.</w:t>
      </w:r>
    </w:p>
    <w:p>
      <w:pPr>
        <w:pStyle w:val="Heading2"/>
      </w:pPr>
      <w:r>
        <w:t>15.4 Document gate</w:t>
      </w:r>
    </w:p>
    <w:p>
      <w:pPr>
        <w:pStyle w:val="ListBullet"/>
        <w:ind w:left="720" w:hanging="360"/>
      </w:pPr>
      <w:r>
        <w:rPr>
          <w:rFonts w:ascii="Arial" w:hAnsi="Arial"/>
          <w:b w:val="0"/>
          <w:i w:val="0"/>
          <w:color w:val="000000"/>
          <w:sz w:val="22"/>
        </w:rPr>
        <w:t>Each document has one audience, one use moment, and one next action.</w:t>
      </w:r>
    </w:p>
    <w:p>
      <w:pPr>
        <w:pStyle w:val="ListBullet"/>
        <w:ind w:left="720" w:hanging="360"/>
      </w:pPr>
      <w:r>
        <w:rPr>
          <w:rFonts w:ascii="Arial" w:hAnsi="Arial"/>
          <w:b w:val="0"/>
          <w:i w:val="0"/>
          <w:color w:val="000000"/>
          <w:sz w:val="22"/>
        </w:rPr>
        <w:t>Every page is visually inspected at 100 percent after rendering.</w:t>
      </w:r>
    </w:p>
    <w:p>
      <w:pPr>
        <w:pStyle w:val="ListBullet"/>
        <w:ind w:left="720" w:hanging="360"/>
      </w:pPr>
      <w:r>
        <w:rPr>
          <w:rFonts w:ascii="Arial" w:hAnsi="Arial"/>
          <w:b w:val="0"/>
          <w:i w:val="0"/>
          <w:color w:val="000000"/>
          <w:sz w:val="22"/>
        </w:rPr>
        <w:t>Participant materials are tested in print and in Google Drive viewers.</w:t>
      </w:r>
    </w:p>
    <w:p>
      <w:pPr>
        <w:pStyle w:val="ListBullet"/>
        <w:ind w:left="720" w:hanging="360"/>
      </w:pPr>
      <w:r>
        <w:rPr>
          <w:rFonts w:ascii="Arial" w:hAnsi="Arial"/>
          <w:b w:val="0"/>
          <w:i w:val="0"/>
          <w:color w:val="000000"/>
          <w:sz w:val="22"/>
        </w:rPr>
        <w:t>No clipped text, repeated generic layouts, tiny labels, broken links, color-only meaning, or decorative filler.</w:t>
      </w:r>
    </w:p>
    <w:p>
      <w:pPr>
        <w:pStyle w:val="ListBullet"/>
        <w:ind w:left="720" w:hanging="360"/>
      </w:pPr>
      <w:r>
        <w:rPr>
          <w:rFonts w:ascii="Arial" w:hAnsi="Arial"/>
          <w:b w:val="0"/>
          <w:i w:val="0"/>
          <w:color w:val="000000"/>
          <w:sz w:val="22"/>
        </w:rPr>
        <w:t>A teacher can complete every worksheet without additional verbal explanation.</w:t>
      </w:r>
    </w:p>
    <w:p>
      <w:pPr>
        <w:pStyle w:val="Heading2"/>
      </w:pPr>
      <w:r>
        <w:t>15.5 Sales readiness gate</w:t>
      </w:r>
    </w:p>
    <w:p>
      <w:pPr>
        <w:keepLines w:val="0"/>
      </w:pPr>
      <w:r>
        <w:rPr>
          <w:rFonts w:ascii="Arial" w:hAnsi="Arial"/>
          <w:b w:val="0"/>
          <w:i w:val="0"/>
          <w:color w:val="000000"/>
          <w:sz w:val="22"/>
        </w:rPr>
        <w:t>Andrew does not send outreach until the flagship demo, sales page, pilot overview, participant workbook, practice pack, safety card, platform setup card, facilitator rehearsal, and usability tests are complete. A technically functioning page is not launch-ready if a beginner remains confused.</w:t>
      </w:r>
    </w:p>
    <w:p>
      <w:pPr>
        <w:pStyle w:val="Heading1"/>
      </w:pPr>
      <w:r>
        <w:t>16. Build sequence</w:t>
      </w:r>
    </w:p>
    <w:p>
      <w:pPr>
        <w:spacing w:after="80" w:line="276" w:lineRule="auto"/>
        <w:numPr>
          <w:ilvl w:val="0"/>
          <w:numId w:val="12"/>
        </w:numPr>
      </w:pPr>
      <w:r>
        <w:rPr>
          <w:rFonts w:ascii="Arial" w:hAnsi="Arial"/>
          <w:b w:val="0"/>
          <w:i w:val="0"/>
          <w:color w:val="000000"/>
          <w:sz w:val="22"/>
        </w:rPr>
        <w:t>Approve this specification. Record any requested changes here before rebuilding assets.</w:t>
      </w:r>
    </w:p>
    <w:p>
      <w:pPr>
        <w:spacing w:after="80" w:line="276" w:lineRule="auto"/>
        <w:numPr>
          <w:ilvl w:val="0"/>
          <w:numId w:val="12"/>
        </w:numPr>
      </w:pPr>
      <w:r>
        <w:rPr>
          <w:rFonts w:ascii="Arial" w:hAnsi="Arial"/>
          <w:b w:val="0"/>
          <w:i w:val="0"/>
          <w:color w:val="000000"/>
          <w:sz w:val="22"/>
        </w:rPr>
        <w:t>Create the Weekly Lesson Setup Assistant practice content and finished before-and-after demonstration.</w:t>
      </w:r>
    </w:p>
    <w:p>
      <w:pPr>
        <w:spacing w:after="80" w:line="276" w:lineRule="auto"/>
        <w:numPr>
          <w:ilvl w:val="0"/>
          <w:numId w:val="12"/>
        </w:numPr>
      </w:pPr>
      <w:r>
        <w:rPr>
          <w:rFonts w:ascii="Arial" w:hAnsi="Arial"/>
          <w:b w:val="0"/>
          <w:i w:val="0"/>
          <w:color w:val="000000"/>
          <w:sz w:val="22"/>
        </w:rPr>
        <w:t>Establish the website and document visual system using the real demonstration assets.</w:t>
      </w:r>
    </w:p>
    <w:p>
      <w:pPr>
        <w:spacing w:after="80" w:line="276" w:lineRule="auto"/>
        <w:numPr>
          <w:ilvl w:val="0"/>
          <w:numId w:val="12"/>
        </w:numPr>
      </w:pPr>
      <w:r>
        <w:rPr>
          <w:rFonts w:ascii="Arial" w:hAnsi="Arial"/>
          <w:b w:val="0"/>
          <w:i w:val="0"/>
          <w:color w:val="000000"/>
          <w:sz w:val="22"/>
        </w:rPr>
        <w:t>Rebuild the sales page only, preserving the rest of awolverton.com.</w:t>
      </w:r>
    </w:p>
    <w:p>
      <w:pPr>
        <w:spacing w:after="80" w:line="276" w:lineRule="auto"/>
        <w:numPr>
          <w:ilvl w:val="0"/>
          <w:numId w:val="12"/>
        </w:numPr>
      </w:pPr>
      <w:r>
        <w:rPr>
          <w:rFonts w:ascii="Arial" w:hAnsi="Arial"/>
          <w:b w:val="0"/>
          <w:i w:val="0"/>
          <w:color w:val="000000"/>
          <w:sz w:val="22"/>
        </w:rPr>
        <w:t>Run beginner-teacher and school-leader usability tests. Fix comprehension before adding polish.</w:t>
      </w:r>
    </w:p>
    <w:p>
      <w:pPr>
        <w:spacing w:after="80" w:line="276" w:lineRule="auto"/>
        <w:numPr>
          <w:ilvl w:val="0"/>
          <w:numId w:val="12"/>
        </w:numPr>
      </w:pPr>
      <w:r>
        <w:rPr>
          <w:rFonts w:ascii="Arial" w:hAnsi="Arial"/>
          <w:b w:val="0"/>
          <w:i w:val="0"/>
          <w:color w:val="000000"/>
          <w:sz w:val="22"/>
        </w:rPr>
        <w:t>Rebuild participant and decision-maker documents. Render, print, inspect, and revise each one.</w:t>
      </w:r>
    </w:p>
    <w:p>
      <w:pPr>
        <w:spacing w:after="80" w:line="276" w:lineRule="auto"/>
        <w:numPr>
          <w:ilvl w:val="0"/>
          <w:numId w:val="12"/>
        </w:numPr>
      </w:pPr>
      <w:r>
        <w:rPr>
          <w:rFonts w:ascii="Arial" w:hAnsi="Arial"/>
          <w:b w:val="0"/>
          <w:i w:val="0"/>
          <w:color w:val="000000"/>
          <w:sz w:val="22"/>
        </w:rPr>
        <w:t>Create and test the platform setup card for the first pilot school's selected product.</w:t>
      </w:r>
    </w:p>
    <w:p>
      <w:pPr>
        <w:spacing w:after="80" w:line="276" w:lineRule="auto"/>
        <w:numPr>
          <w:ilvl w:val="0"/>
          <w:numId w:val="12"/>
        </w:numPr>
      </w:pPr>
      <w:r>
        <w:rPr>
          <w:rFonts w:ascii="Arial" w:hAnsi="Arial"/>
          <w:b w:val="0"/>
          <w:i w:val="0"/>
          <w:color w:val="000000"/>
          <w:sz w:val="22"/>
        </w:rPr>
        <w:t>Rehearse the 45-minute setup, 90-minute lab, technology fallback, and 30-minute follow-up.</w:t>
      </w:r>
    </w:p>
    <w:p>
      <w:pPr>
        <w:spacing w:after="80" w:line="276" w:lineRule="auto"/>
        <w:numPr>
          <w:ilvl w:val="0"/>
          <w:numId w:val="12"/>
        </w:numPr>
      </w:pPr>
      <w:r>
        <w:rPr>
          <w:rFonts w:ascii="Arial" w:hAnsi="Arial"/>
          <w:b w:val="0"/>
          <w:i w:val="0"/>
          <w:color w:val="000000"/>
          <w:sz w:val="22"/>
        </w:rPr>
        <w:t>Complete technical, accessibility, document, and sales gates.</w:t>
      </w:r>
    </w:p>
    <w:p>
      <w:pPr>
        <w:spacing w:after="80" w:line="276" w:lineRule="auto"/>
        <w:numPr>
          <w:ilvl w:val="0"/>
          <w:numId w:val="12"/>
        </w:numPr>
      </w:pPr>
      <w:r>
        <w:rPr>
          <w:rFonts w:ascii="Arial" w:hAnsi="Arial"/>
          <w:b w:val="0"/>
          <w:i w:val="0"/>
          <w:color w:val="000000"/>
          <w:sz w:val="22"/>
        </w:rPr>
        <w:t>Prepare personalized outreach for Andrew to review and send manually.</w:t>
      </w:r>
    </w:p>
    <w:p>
      <w:pPr>
        <w:pStyle w:val="Heading1"/>
      </w:pPr>
      <w:r>
        <w:t>17. Change control</w:t>
      </w:r>
    </w:p>
    <w:p>
      <w:pPr>
        <w:pStyle w:val="ListBullet"/>
        <w:ind w:left="720" w:hanging="360"/>
      </w:pPr>
      <w:r>
        <w:rPr>
          <w:rFonts w:ascii="Arial" w:hAnsi="Arial"/>
          <w:b w:val="0"/>
          <w:i w:val="0"/>
          <w:color w:val="000000"/>
          <w:sz w:val="22"/>
        </w:rPr>
        <w:t>This specification is the controlling product document.</w:t>
      </w:r>
    </w:p>
    <w:p>
      <w:pPr>
        <w:pStyle w:val="ListBullet"/>
        <w:ind w:left="720" w:hanging="360"/>
      </w:pPr>
      <w:r>
        <w:rPr>
          <w:rFonts w:ascii="Arial" w:hAnsi="Arial"/>
          <w:b w:val="0"/>
          <w:i w:val="0"/>
          <w:color w:val="000000"/>
          <w:sz w:val="22"/>
        </w:rPr>
        <w:t>Every public claim belongs in a claims register with source, sample, date, caveat, and review date.</w:t>
      </w:r>
    </w:p>
    <w:p>
      <w:pPr>
        <w:pStyle w:val="ListBullet"/>
        <w:ind w:left="720" w:hanging="360"/>
      </w:pPr>
      <w:r>
        <w:rPr>
          <w:rFonts w:ascii="Arial" w:hAnsi="Arial"/>
          <w:b w:val="0"/>
          <w:i w:val="0"/>
          <w:color w:val="000000"/>
          <w:sz w:val="22"/>
        </w:rPr>
        <w:t>Every participant-facing document carries a version and release date in its metadata.</w:t>
      </w:r>
    </w:p>
    <w:p>
      <w:pPr>
        <w:pStyle w:val="ListBullet"/>
        <w:ind w:left="720" w:hanging="360"/>
      </w:pPr>
      <w:r>
        <w:rPr>
          <w:rFonts w:ascii="Arial" w:hAnsi="Arial"/>
          <w:b w:val="0"/>
          <w:i w:val="0"/>
          <w:color w:val="000000"/>
          <w:sz w:val="22"/>
        </w:rPr>
        <w:t>Platform instructions are versioned separately because interfaces and account controls change.</w:t>
      </w:r>
    </w:p>
    <w:p>
      <w:pPr>
        <w:pStyle w:val="ListBullet"/>
        <w:ind w:left="720" w:hanging="360"/>
      </w:pPr>
      <w:r>
        <w:rPr>
          <w:rFonts w:ascii="Arial" w:hAnsi="Arial"/>
          <w:b w:val="0"/>
          <w:i w:val="0"/>
          <w:color w:val="000000"/>
          <w:sz w:val="22"/>
        </w:rPr>
        <w:t>Local school decisions are recorded in a pilot-specific setup record, not inserted into the reusable public master.</w:t>
      </w:r>
    </w:p>
    <w:p>
      <w:pPr>
        <w:pStyle w:val="ListBullet"/>
        <w:ind w:left="720" w:hanging="360"/>
      </w:pPr>
      <w:r>
        <w:rPr>
          <w:rFonts w:ascii="Arial" w:hAnsi="Arial"/>
          <w:b w:val="0"/>
          <w:i w:val="0"/>
          <w:color w:val="000000"/>
          <w:sz w:val="22"/>
        </w:rPr>
        <w:t>Older resource hubs, ZIPs, PDFs, and copied toolkits remain unpublished prototypes unless deliberately rebuilt and approved.</w:t>
      </w:r>
    </w:p>
    <w:p>
      <w:pPr>
        <w:pStyle w:val="ListBullet"/>
        <w:ind w:left="720" w:hanging="360"/>
      </w:pPr>
      <w:r>
        <w:rPr>
          <w:rFonts w:ascii="Arial" w:hAnsi="Arial"/>
          <w:b w:val="0"/>
          <w:i w:val="0"/>
          <w:color w:val="000000"/>
          <w:sz w:val="22"/>
        </w:rPr>
        <w:t>Any change to the promise, audience, safety boundary, deliverable, price, or readiness gate requires an explicit update to this specification first.</w:t>
      </w:r>
    </w:p>
    <w:p>
      <w:pPr>
        <w:pStyle w:val="Heading1"/>
      </w:pPr>
      <w:r>
        <w:t>18. Definition of done</w:t>
      </w:r>
    </w:p>
    <w:p>
      <w:pPr>
        <w:keepLines w:val="0"/>
      </w:pPr>
      <w:r>
        <w:rPr>
          <w:rFonts w:ascii="Arial" w:hAnsi="Arial"/>
          <w:b w:val="0"/>
          <w:i w:val="0"/>
          <w:color w:val="000000"/>
          <w:sz w:val="22"/>
        </w:rPr>
        <w:t>The Teacher Time Back Lab is complete when a beginner teacher and a school leader can independently understand the offer; the demonstration shows a recognizable before, build, result, review, and reuse cycle; the workshop produces one saved assistant setup per participant; no real student information is needed; every asset has a clear audience and distribution moment; the website and documents pass accessibility and visual QA; Andrew can facilitate the full experience from a tested playbook; the follow-up measures actual usefulness; and Andrew can send one concise pilot offer without apologizing for, explaining around, or hiding any part of the product.</w:t>
      </w:r>
    </w:p>
    <w:p>
      <w:pPr>
        <w:pStyle w:val="Heading1"/>
      </w:pPr>
      <w:r>
        <w:t>Approval</w:t>
      </w:r>
    </w:p>
    <w:p>
      <w:pPr>
        <w:keepLines w:val="0"/>
      </w:pPr>
      <w:r>
        <w:rPr>
          <w:rFonts w:ascii="Arial" w:hAnsi="Arial"/>
          <w:b w:val="0"/>
          <w:i w:val="0"/>
          <w:color w:val="000000"/>
          <w:sz w:val="22"/>
        </w:rPr>
        <w:t>Approval of this specification authorizes the demonstration, webpage, document suite, and platform-adapter rebuild in the sequence above. It does not authorize public deployment or outreach until the acceptance gates pass.</w:t>
      </w:r>
    </w:p>
    <w:p>
      <w:pPr>
        <w:spacing w:after="100"/>
      </w:pPr>
      <w:r>
        <w:rPr>
          <w:rFonts w:ascii="Arial" w:hAnsi="Arial"/>
          <w:b/>
          <w:i w:val="0"/>
          <w:color w:val="000000"/>
          <w:sz w:val="22"/>
        </w:rPr>
        <w:t xml:space="preserve">Andrew approval: </w:t>
      </w:r>
      <w:r>
        <w:rPr>
          <w:rFonts w:ascii="Arial" w:hAnsi="Arial"/>
          <w:b w:val="0"/>
          <w:i w:val="0"/>
          <w:color w:val="000000"/>
          <w:sz w:val="22"/>
        </w:rPr>
        <w:t>____________________________________</w:t>
      </w:r>
    </w:p>
    <w:p>
      <w:pPr>
        <w:spacing w:after="100"/>
      </w:pPr>
      <w:r>
        <w:rPr>
          <w:rFonts w:ascii="Arial" w:hAnsi="Arial"/>
          <w:b/>
          <w:i w:val="0"/>
          <w:color w:val="000000"/>
          <w:sz w:val="22"/>
        </w:rPr>
        <w:t xml:space="preserve">Date: </w:t>
      </w:r>
      <w:r>
        <w:rPr>
          <w:rFonts w:ascii="Arial" w:hAnsi="Arial"/>
          <w:b w:val="0"/>
          <w:i w:val="0"/>
          <w:color w:val="000000"/>
          <w:sz w:val="22"/>
        </w:rPr>
        <w:t>____________________________________</w:t>
      </w:r>
    </w:p>
    <w:p>
      <w:pPr>
        <w:pStyle w:val="Heading1"/>
      </w:pPr>
      <w:r>
        <w:t>Reference links for claims review</w:t>
      </w:r>
    </w:p>
    <w:p>
      <w:pPr>
        <w:pStyle w:val="ListBullet"/>
      </w:pPr>
      <w:hyperlink r:id="rId9">
        <w:r>
          <w:rPr>
            <w:rFonts w:ascii="Arial" w:hAnsi="Arial"/>
            <w:color w:val="1155CC"/>
            <w:u w:val="single"/>
          </w:rPr>
          <w:t>Gallup, Three in 10 Teachers Use AI Weekly, Saving Six Weeks a Year, June 24, 2025</w:t>
        </w:r>
      </w:hyperlink>
    </w:p>
    <w:p>
      <w:pPr>
        <w:pStyle w:val="ListBullet"/>
      </w:pPr>
      <w:hyperlink r:id="rId10">
        <w:r>
          <w:rPr>
            <w:rFonts w:ascii="Arial" w:hAnsi="Arial"/>
            <w:color w:val="1155CC"/>
            <w:u w:val="single"/>
          </w:rPr>
          <w:t>Gallup, Most Teachers Receive No Formal Guidance on AI Use, May 2026</w:t>
        </w:r>
      </w:hyperlink>
    </w:p>
    <w:p>
      <w:pPr>
        <w:pStyle w:val="ListBullet"/>
      </w:pPr>
      <w:hyperlink r:id="rId11">
        <w:r>
          <w:rPr>
            <w:rFonts w:ascii="Arial" w:hAnsi="Arial"/>
            <w:color w:val="1155CC"/>
            <w:u w:val="single"/>
          </w:rPr>
          <w:t>NYC Public Schools, Guidance on Artificial Intelligence</w:t>
        </w:r>
      </w:hyperlink>
    </w:p>
    <w:p>
      <w:pPr>
        <w:pStyle w:val="ListBullet"/>
      </w:pPr>
      <w:hyperlink r:id="rId12">
        <w:r>
          <w:rPr>
            <w:rFonts w:ascii="Arial" w:hAnsi="Arial"/>
            <w:color w:val="1155CC"/>
            <w:u w:val="single"/>
          </w:rPr>
          <w:t>U.S. Department of Education, Personally Identifiable Information for Education Records</w:t>
        </w:r>
      </w:hyperlink>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1">
    <w:multiLevelType w:val="singleLevel"/>
    <w:lvl w:ilvl="0">
      <w:start w:val="1"/>
      <w:numFmt w:val="decimal"/>
      <w:lvlText w:val="%1."/>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abstractNum w:abstractNumId="9">
    <w:multiLevelType w:val="singleLevel"/>
    <w:lvl w:ilvl="0">
      <w:start w:val="1"/>
      <w:numFmt w:val="decimal"/>
      <w:lvlText w:val="%1."/>
      <w:lvlJc w:val="left"/>
      <w:pPr>
        <w:tabs>
          <w:tab w:val="num" w:pos="720"/>
        </w:tabs>
        <w:ind w:left="72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ws.gallup.com/poll/691967/three-teachers-weekly-saving-six-weeks-year.aspx" TargetMode="External"/><Relationship Id="rId10" Type="http://schemas.openxmlformats.org/officeDocument/2006/relationships/hyperlink" Target="https://news.gallup.com/poll/710534/teachers-receive-no-formal-guidance.aspx" TargetMode="External"/><Relationship Id="rId11" Type="http://schemas.openxmlformats.org/officeDocument/2006/relationships/hyperlink" Target="https://www.schools.nyc.gov/about-us/vision-and-mission/artificial-intelligence/guidance-on-artificial-intelligence" TargetMode="External"/><Relationship Id="rId12" Type="http://schemas.openxmlformats.org/officeDocument/2006/relationships/hyperlink" Target="https://studentprivacy.ed.gov/content/personally-identifiable-information-education-rec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Time Back Lab Product Specification v1.0</dc:title>
  <dc:subject>Source of truth for the Teacher Time Back Lab product, workshop, safety model, sales page, documents, and platform adapters</dc:subject>
  <dc:creator>Andrew Wolverton</dc:creator>
  <cp:keywords>Teacher Time Back Lab, AI professional learning, product specification, school pilot</cp:keywords>
  <dc:description>generated by python-docx</dc:description>
  <cp:lastModifiedBy/>
  <cp:revision>1</cp:revision>
  <dcterms:created xsi:type="dcterms:W3CDTF">2013-12-23T23:15:00Z</dcterms:created>
  <dcterms:modified xsi:type="dcterms:W3CDTF">2013-12-23T23:15:00Z</dcterms:modified>
  <cp:category/>
</cp:coreProperties>
</file>