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rPr>
          <w:rFonts w:ascii="Arial" w:hAnsi="Arial"/>
          <w:b/>
          <w:color w:val="55635F"/>
          <w:sz w:val="18"/>
        </w:rPr>
        <w:t>TEACHER TIME BACK LAB | SUPPLIED PRACTICE EXAMPLE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Weekly Lesson Setup Practice Input</w:t>
      </w:r>
    </w:p>
    <w:p>
      <w:pPr>
        <w:spacing w:after="240"/>
      </w:pPr>
      <w:r>
        <w:rPr>
          <w:rFonts w:ascii="Arial" w:hAnsi="Arial"/>
          <w:color w:val="55635F"/>
          <w:sz w:val="22"/>
        </w:rPr>
        <w:t>Riverton Public Space Choice | Grade 7 humanities | Practice copy with no real people or records</w:t>
      </w:r>
    </w:p>
    <w:p>
      <w:pPr>
        <w:spacing w:before="160" w:after="160"/>
      </w:pPr>
      <w:r>
        <w:rPr>
          <w:rFonts w:ascii="Arial" w:hAnsi="Arial"/>
          <w:b/>
          <w:color w:val="000000"/>
          <w:sz w:val="22"/>
        </w:rPr>
        <w:t xml:space="preserve">What this is: </w:t>
      </w:r>
      <w:r>
        <w:rPr>
          <w:rFonts w:ascii="Arial" w:hAnsi="Arial"/>
          <w:color w:val="000000"/>
          <w:sz w:val="22"/>
        </w:rPr>
        <w:t>Andrew provides this ready-made practice example during the lab. Teachers do not need to prepare lesson materials or use real student information to learn the method.</w:t>
      </w:r>
    </w:p>
    <w:p>
      <w:pPr>
        <w:spacing w:before="160" w:after="160"/>
      </w:pPr>
      <w:r>
        <w:rPr>
          <w:rFonts w:ascii="Arial" w:hAnsi="Arial"/>
          <w:b/>
          <w:color w:val="000000"/>
          <w:sz w:val="22"/>
        </w:rPr>
        <w:t xml:space="preserve">What teachers bring: </w:t>
      </w:r>
      <w:r>
        <w:rPr>
          <w:rFonts w:ascii="Arial" w:hAnsi="Arial"/>
          <w:color w:val="000000"/>
          <w:sz w:val="22"/>
        </w:rPr>
        <w:t>A working login to the AI tool and account the school allows. For the first practice, they can use this entire pack instead of bringing their own lesson material.</w:t>
      </w:r>
    </w:p>
    <w:p>
      <w:pPr>
        <w:pStyle w:val="Heading1"/>
      </w:pPr>
      <w:r>
        <w:t>The week</w:t>
      </w:r>
    </w:p>
    <w:p>
      <w:r>
        <w:rPr>
          <w:rFonts w:ascii="Arial" w:hAnsi="Arial"/>
          <w:b/>
          <w:color w:val="000000"/>
          <w:sz w:val="22"/>
        </w:rPr>
        <w:t xml:space="preserve">Period length: </w:t>
      </w:r>
      <w:r>
        <w:rPr>
          <w:rFonts w:ascii="Arial" w:hAnsi="Arial"/>
          <w:color w:val="000000"/>
          <w:sz w:val="22"/>
        </w:rPr>
        <w:t>48 minutes</w:t>
      </w:r>
    </w:p>
    <w:p>
      <w:r>
        <w:rPr>
          <w:rFonts w:ascii="Arial" w:hAnsi="Arial"/>
          <w:b/>
          <w:color w:val="000000"/>
          <w:sz w:val="22"/>
        </w:rPr>
        <w:t xml:space="preserve">Week question: </w:t>
      </w:r>
      <w:r>
        <w:rPr>
          <w:rFonts w:ascii="Arial" w:hAnsi="Arial"/>
          <w:color w:val="000000"/>
          <w:sz w:val="22"/>
        </w:rPr>
        <w:t>How should a public space reflect a community's priorities?</w:t>
      </w:r>
    </w:p>
    <w:p>
      <w:r>
        <w:rPr>
          <w:rFonts w:ascii="Arial" w:hAnsi="Arial"/>
          <w:b/>
          <w:color w:val="000000"/>
          <w:sz w:val="22"/>
        </w:rPr>
        <w:t xml:space="preserve">Week objective: </w:t>
      </w:r>
      <w:r>
        <w:rPr>
          <w:rFonts w:ascii="Arial" w:hAnsi="Arial"/>
          <w:color w:val="000000"/>
          <w:sz w:val="22"/>
        </w:rPr>
        <w:t>Compare two practice proposals, evaluate each against stated criteria, and support a recommendation with evidence.</w:t>
      </w:r>
    </w:p>
    <w:p>
      <w:r>
        <w:rPr>
          <w:rFonts w:ascii="Arial" w:hAnsi="Arial"/>
          <w:b/>
          <w:color w:val="000000"/>
          <w:sz w:val="22"/>
        </w:rPr>
        <w:t xml:space="preserve">Comparison criteria: </w:t>
      </w:r>
      <w:r>
        <w:rPr>
          <w:rFonts w:ascii="Arial" w:hAnsi="Arial"/>
          <w:color w:val="000000"/>
          <w:sz w:val="22"/>
        </w:rPr>
        <w:t>Access, Learning and community use, Cost</w:t>
      </w:r>
    </w:p>
    <w:p>
      <w:pPr>
        <w:pStyle w:val="Heading1"/>
      </w:pPr>
      <w:r>
        <w:t>Two short practice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4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Library Link Plaza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4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Market Garden Commons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Movable seating and shade trees</w:t>
              <w:br/>
              <w:t>Small performance platform and water fountain</w:t>
              <w:br/>
              <w:t>Wide path connecting the library to the bus stop</w:t>
              <w:br/>
              <w:t>Estimated cost: 2.4 million practice dollars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36 raised garden beds and a shade pavilion</w:t>
              <w:br/>
              <w:t>Outdoor classroom and weekend produce stand</w:t>
              <w:br/>
              <w:t>Standard pedestrian entrance with no direct bus-stop connection</w:t>
              <w:br/>
              <w:t>Estimated cost: 1.9 million practice dollars</w:t>
            </w:r>
          </w:p>
        </w:tc>
      </w:tr>
    </w:tbl>
    <w:p>
      <w:r>
        <w:br w:type="page"/>
      </w:r>
    </w:p>
    <w:p>
      <w:pPr>
        <w:spacing w:before="80" w:after="100"/>
      </w:pPr>
      <w:r>
        <w:rPr>
          <w:rFonts w:ascii="Arial" w:hAnsi="Arial"/>
          <w:b/>
          <w:color w:val="55635F"/>
          <w:sz w:val="18"/>
        </w:rPr>
        <w:t>PRACTICE INPUT 1</w:t>
      </w:r>
    </w:p>
    <w:p>
      <w:pPr>
        <w:pStyle w:val="Heading1"/>
      </w:pPr>
      <w:r>
        <w:t>Rough weekly notes</w:t>
      </w:r>
    </w:p>
    <w:p>
      <w:r>
        <w:t>These notes are intentionally uneven. The assistant may organize what is present, but it must not invent missing teaching choices.</w:t>
      </w:r>
    </w:p>
    <w:p>
      <w:pPr>
        <w:pStyle w:val="Heading2"/>
      </w:pPr>
      <w:r>
        <w:t>Monday</w:t>
      </w:r>
    </w:p>
    <w:p>
      <w:r>
        <w:t>Opening question: What makes a public space welcoming? Introduce the three criteria. Preview both proposal summaries. Exit response: Which criterion matters most and why?</w:t>
      </w:r>
    </w:p>
    <w:p>
      <w:pPr>
        <w:pStyle w:val="Heading2"/>
      </w:pPr>
      <w:r>
        <w:t>Tuesday</w:t>
      </w:r>
    </w:p>
    <w:p>
      <w:r>
        <w:t>Pairs read both proposal summaries. Complete comparison chart. Circle one strong piece of evidence for each proposal.</w:t>
      </w:r>
    </w:p>
    <w:p>
      <w:pPr>
        <w:pStyle w:val="Heading2"/>
      </w:pPr>
      <w:r>
        <w:t>Wednesday</w:t>
      </w:r>
    </w:p>
    <w:p>
      <w:r>
        <w:t>Model an evidence-based recommendation. Small groups draft one recommendation and cite two facts. Brief share-out.</w:t>
      </w:r>
    </w:p>
    <w:p>
      <w:pPr>
        <w:pStyle w:val="Heading2"/>
      </w:pPr>
      <w:r>
        <w:t>Thursday</w:t>
      </w:r>
    </w:p>
    <w:p>
      <w:r>
        <w:t>Peer feedback and revision. I have not chosen the time breakdown or whether feedback will be on paper or digital.</w:t>
      </w:r>
    </w:p>
    <w:p>
      <w:pPr>
        <w:pStyle w:val="Heading2"/>
      </w:pPr>
      <w:r>
        <w:t>Friday</w:t>
      </w:r>
    </w:p>
    <w:p>
      <w:r>
        <w:t>Gallery walk: 20 minutes. Individual reflection: 15 minutes. Need a closing move for the remaining time.</w:t>
      </w:r>
    </w:p>
    <w:p>
      <w:r>
        <w:br w:type="page"/>
      </w:r>
    </w:p>
    <w:p>
      <w:pPr>
        <w:spacing w:before="80" w:after="100"/>
      </w:pPr>
      <w:r>
        <w:rPr>
          <w:rFonts w:ascii="Arial" w:hAnsi="Arial"/>
          <w:b/>
          <w:color w:val="55635F"/>
          <w:sz w:val="18"/>
        </w:rPr>
        <w:t>PRACTICE INPUT 2</w:t>
      </w:r>
    </w:p>
    <w:p>
      <w:pPr>
        <w:pStyle w:val="Heading1"/>
      </w:pPr>
      <w:r>
        <w:t>Blank weekly format</w:t>
      </w:r>
    </w:p>
    <w:p>
      <w:r>
        <w:t>The assistant returns the week in this familiar structure. Use one block per day.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Monday</w:t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Sequence and timing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Student directions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Teacher check questions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Decisions still needed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Tuesday</w:t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Sequence and timing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Student directions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Teacher check questions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Decisions still needed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/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Wednesday</w:t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Sequence and timing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Student directions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Teacher check questions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Decisions still needed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Thursday</w:t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Sequence and timing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Student directions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Teacher check questions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Decisions still needed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/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Day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Friday</w:t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Sequence and timing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Student directions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Teacher check questions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300"/>
            <w:shd w:fill="F3F4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Decisions still needed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635F"/>
        <w:sz w:val="16"/>
      </w:rPr>
      <w:t>Teacher Time Back Lab | Practice copy | Version 1.0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