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rFonts w:ascii="Arial Narrow" w:hAnsi="Arial Narrow"/>
          <w:b/>
          <w:color w:val="008C84"/>
          <w:sz w:val="20"/>
        </w:rPr>
        <w:t>FACILITATOR PLAYBOOK</w:t>
      </w:r>
    </w:p>
    <w:p>
      <w:pPr>
        <w:pStyle w:val="Title"/>
      </w:pPr>
      <w:r>
        <w:t>Teacher Time-Back Lab</w:t>
      </w:r>
    </w:p>
    <w:p>
      <w:pPr>
        <w:pStyle w:val="Subtitle"/>
      </w:pPr>
      <w:r>
        <w:t>Complete run of show, speaker script, safety decisions, nuanced FAQ, and follow-up pathways</w:t>
      </w:r>
    </w:p>
    <w:tbl>
      <w:tblPr>
        <w:tblW w:type="dxa" w:w="9880"/>
        <w:jc w:val="left"/>
        <w:tblLayout w:type="fixed"/>
        <w:tblLook w:firstColumn="1" w:firstRow="1" w:lastColumn="0" w:lastRow="0" w:noHBand="0" w:noVBand="1" w:val="04A0"/>
        <w:tblInd w:w="0" w:type="dxa"/>
      </w:tblPr>
      <w:tblGrid>
        <w:gridCol w:w="9880"/>
      </w:tblGrid>
      <w:tr>
        <w:trPr>
          <w:cantSplit/>
        </w:trPr>
        <w:tc>
          <w:tcPr>
            <w:tcW w:type="dxa" w:w="9880"/>
            <w:tcMar>
              <w:top w:w="110" w:type="dxa"/>
              <w:start w:w="140" w:type="dxa"/>
              <w:bottom w:w="110" w:type="dxa"/>
              <w:end w:w="140" w:type="dxa"/>
            </w:tcMar>
            <w:shd w:fill="063C33"/>
          </w:tcPr>
          <w:p>
            <w:pPr>
              <w:spacing w:after="60"/>
            </w:pPr>
            <w:r>
              <w:rPr>
                <w:rFonts w:ascii="Arial Narrow" w:hAnsi="Arial Narrow"/>
                <w:b/>
                <w:color w:val="59DDD0"/>
                <w:sz w:val="19"/>
              </w:rPr>
              <w:t>THE PROMISE</w:t>
            </w:r>
          </w:p>
          <w:p>
            <w:pPr>
              <w:spacing w:after="0"/>
            </w:pPr>
            <w:r>
              <w:rPr>
                <w:rFonts w:ascii="Arial" w:hAnsi="Arial"/>
                <w:b w:val="0"/>
                <w:color w:val="FFFFFF"/>
                <w:sz w:val="21"/>
              </w:rPr>
              <w:t>Teachers do not come to master AI. They come to stop rebuilding one recurring piece of work, safely and with professional judgment intact.</w:t>
            </w:r>
          </w:p>
        </w:tc>
      </w:tr>
    </w:tbl>
    <w:p>
      <w:pPr>
        <w:spacing w:after="0"/>
      </w:pPr>
    </w:p>
    <w:tbl>
      <w:tblPr>
        <w:tblW w:type="dxa" w:w="9880"/>
        <w:jc w:val="left"/>
        <w:tblLayout w:type="fixed"/>
        <w:tblLook w:firstColumn="1" w:firstRow="1" w:lastColumn="0" w:lastRow="0" w:noHBand="0" w:noVBand="1" w:val="04A0"/>
        <w:tblInd w:w="0" w:type="dxa"/>
      </w:tblPr>
      <w:tblGrid>
        <w:gridCol w:w="2470"/>
        <w:gridCol w:w="2470"/>
        <w:gridCol w:w="2470"/>
        <w:gridCol w:w="2470"/>
      </w:tblGrid>
      <w:tr>
        <w:tc>
          <w:tcPr>
            <w:tcW w:type="dxa" w:w="2470"/>
            <w:tcMar>
              <w:top w:w="110" w:type="dxa"/>
              <w:start w:w="140" w:type="dxa"/>
              <w:bottom w:w="110" w:type="dxa"/>
              <w:end w:w="140" w:type="dxa"/>
            </w:tcMar>
            <w:shd w:fill="FFF4D8"/>
          </w:tcPr>
          <w:p>
            <w:pPr>
              <w:jc w:val="center"/>
            </w:pPr>
            <w:r>
              <w:rPr>
                <w:rFonts w:ascii="Arial Narrow" w:hAnsi="Arial Narrow"/>
                <w:b/>
                <w:color w:val="063C33"/>
                <w:sz w:val="30"/>
              </w:rPr>
              <w:t>45 min</w:t>
            </w:r>
          </w:p>
          <w:p>
            <w:pPr>
              <w:jc w:val="center"/>
            </w:pPr>
            <w:r>
              <w:rPr>
                <w:rFonts w:ascii="Arial" w:hAnsi="Arial"/>
                <w:color w:val="4F6B67"/>
                <w:sz w:val="17"/>
              </w:rPr>
              <w:t>Leadership setup</w:t>
            </w:r>
          </w:p>
        </w:tc>
        <w:tc>
          <w:tcPr>
            <w:tcW w:type="dxa" w:w="2470"/>
            <w:tcMar>
              <w:top w:w="110" w:type="dxa"/>
              <w:start w:w="140" w:type="dxa"/>
              <w:bottom w:w="110" w:type="dxa"/>
              <w:end w:w="140" w:type="dxa"/>
            </w:tcMar>
            <w:shd w:fill="E8F6F3"/>
          </w:tcPr>
          <w:p>
            <w:pPr>
              <w:jc w:val="center"/>
            </w:pPr>
            <w:r>
              <w:rPr>
                <w:rFonts w:ascii="Arial Narrow" w:hAnsi="Arial Narrow"/>
                <w:b/>
                <w:color w:val="063C33"/>
                <w:sz w:val="30"/>
              </w:rPr>
              <w:t>90 min</w:t>
            </w:r>
          </w:p>
          <w:p>
            <w:pPr>
              <w:jc w:val="center"/>
            </w:pPr>
            <w:r>
              <w:rPr>
                <w:rFonts w:ascii="Arial" w:hAnsi="Arial"/>
                <w:color w:val="4F6B67"/>
                <w:sz w:val="17"/>
              </w:rPr>
              <w:t>Teacher build lab</w:t>
            </w:r>
          </w:p>
        </w:tc>
        <w:tc>
          <w:tcPr>
            <w:tcW w:type="dxa" w:w="2470"/>
            <w:tcMar>
              <w:top w:w="110" w:type="dxa"/>
              <w:start w:w="140" w:type="dxa"/>
              <w:bottom w:w="110" w:type="dxa"/>
              <w:end w:w="140" w:type="dxa"/>
            </w:tcMar>
            <w:shd w:fill="FFF4D8"/>
          </w:tcPr>
          <w:p>
            <w:pPr>
              <w:jc w:val="center"/>
            </w:pPr>
            <w:r>
              <w:rPr>
                <w:rFonts w:ascii="Arial Narrow" w:hAnsi="Arial Narrow"/>
                <w:b/>
                <w:color w:val="063C33"/>
                <w:sz w:val="30"/>
              </w:rPr>
              <w:t>2 weeks</w:t>
            </w:r>
          </w:p>
          <w:p>
            <w:pPr>
              <w:jc w:val="center"/>
            </w:pPr>
            <w:r>
              <w:rPr>
                <w:rFonts w:ascii="Arial" w:hAnsi="Arial"/>
                <w:color w:val="4F6B67"/>
                <w:sz w:val="17"/>
              </w:rPr>
              <w:t>Measured use</w:t>
            </w:r>
          </w:p>
        </w:tc>
        <w:tc>
          <w:tcPr>
            <w:tcW w:type="dxa" w:w="2470"/>
            <w:tcMar>
              <w:top w:w="110" w:type="dxa"/>
              <w:start w:w="140" w:type="dxa"/>
              <w:bottom w:w="110" w:type="dxa"/>
              <w:end w:w="140" w:type="dxa"/>
            </w:tcMar>
            <w:shd w:fill="E8F6F3"/>
          </w:tcPr>
          <w:p>
            <w:pPr>
              <w:jc w:val="center"/>
            </w:pPr>
            <w:r>
              <w:rPr>
                <w:rFonts w:ascii="Arial Narrow" w:hAnsi="Arial Narrow"/>
                <w:b/>
                <w:color w:val="063C33"/>
                <w:sz w:val="30"/>
              </w:rPr>
              <w:t>30 min</w:t>
            </w:r>
          </w:p>
          <w:p>
            <w:pPr>
              <w:jc w:val="center"/>
            </w:pPr>
            <w:r>
              <w:rPr>
                <w:rFonts w:ascii="Arial" w:hAnsi="Arial"/>
                <w:color w:val="4F6B67"/>
                <w:sz w:val="17"/>
              </w:rPr>
              <w:t>Follow-up decision</w:t>
            </w:r>
          </w:p>
        </w:tc>
      </w:tr>
    </w:tbl>
    <w:p/>
    <w:p>
      <w:pPr>
        <w:spacing w:after="100"/>
      </w:pPr>
      <w:r>
        <w:rPr>
          <w:rFonts w:ascii="Arial Narrow" w:hAnsi="Arial Narrow"/>
          <w:b/>
          <w:color w:val="008C84"/>
          <w:sz w:val="19"/>
        </w:rPr>
        <w:t xml:space="preserve">AUDIENCE  </w:t>
      </w:r>
      <w:r>
        <w:t>Andrew Wolverton, school hosts, instructional technology leaders, and approved co-facilitators.</w:t>
      </w:r>
    </w:p>
    <w:p>
      <w:pPr>
        <w:spacing w:after="100"/>
      </w:pPr>
      <w:r>
        <w:rPr>
          <w:rFonts w:ascii="Arial Narrow" w:hAnsi="Arial Narrow"/>
          <w:b/>
          <w:color w:val="008C84"/>
          <w:sz w:val="19"/>
        </w:rPr>
        <w:t xml:space="preserve">CURRENT UNIT BOUNDARY  </w:t>
      </w:r>
      <w:r>
        <w:t>Beginner, student-neutral assistant design. No student records are needed or used.</w:t>
      </w:r>
    </w:p>
    <w:p>
      <w:pPr>
        <w:spacing w:after="100"/>
      </w:pPr>
      <w:r>
        <w:rPr>
          <w:rFonts w:ascii="Arial Narrow" w:hAnsi="Arial Narrow"/>
          <w:b/>
          <w:color w:val="008C84"/>
          <w:sz w:val="19"/>
        </w:rPr>
        <w:t xml:space="preserve">IMPORTANT  </w:t>
      </w:r>
      <w:r>
        <w:t>This playbook is operational guidance, not legal advice or a compliance certification. School policy and the responsible privacy, data, legal, special-education, and technology leaders control local decisions.</w:t>
      </w:r>
    </w:p>
    <w:p>
      <w:r>
        <w:br w:type="page"/>
      </w:r>
    </w:p>
    <w:p>
      <w:pPr>
        <w:spacing w:after="100"/>
      </w:pPr>
      <w:r>
        <w:rPr>
          <w:rFonts w:ascii="Arial Narrow" w:hAnsi="Arial Narrow"/>
          <w:b/>
          <w:color w:val="008C84"/>
          <w:sz w:val="20"/>
        </w:rPr>
        <w:t>HOW TO USE THIS PLAYBOOK</w:t>
      </w:r>
    </w:p>
    <w:p>
      <w:pPr>
        <w:pStyle w:val="Title"/>
      </w:pPr>
      <w:r>
        <w:t>Follow the room, not the page count.</w:t>
      </w:r>
    </w:p>
    <w:p>
      <w:pPr>
        <w:pStyle w:val="Subtitle"/>
      </w:pPr>
      <w:r>
        <w:t>Each stage tells you what to say, show, ask participants to do, listen for, and decide.</w:t>
      </w:r>
    </w:p>
    <w:p>
      <w:pPr>
        <w:pStyle w:val="ListBullet"/>
      </w:pPr>
      <w:r>
        <w:t>Part 1. Offer and outcome: what is actually being sold and built.</w:t>
      </w:r>
    </w:p>
    <w:p>
      <w:pPr>
        <w:pStyle w:val="ListBullet"/>
      </w:pPr>
      <w:r>
        <w:t>Part 2. Leadership setup: the decisions that must exist before teachers arrive.</w:t>
      </w:r>
    </w:p>
    <w:p>
      <w:pPr>
        <w:pStyle w:val="ListBullet"/>
      </w:pPr>
      <w:r>
        <w:t>Part 3. The 90-minute lab: a complete minute-by-minute facilitation script.</w:t>
      </w:r>
    </w:p>
    <w:p>
      <w:pPr>
        <w:pStyle w:val="ListBullet"/>
      </w:pPr>
      <w:r>
        <w:t>Part 4. Safety rehearsal: four interactive choices and their teaching points.</w:t>
      </w:r>
    </w:p>
    <w:p>
      <w:pPr>
        <w:pStyle w:val="ListBullet"/>
      </w:pPr>
      <w:r>
        <w:t>Part 5. Follow-up: how teachers decide to keep, revise, or stop.</w:t>
      </w:r>
    </w:p>
    <w:p>
      <w:pPr>
        <w:pStyle w:val="ListBullet"/>
      </w:pPr>
      <w:r>
        <w:t>Part 6. Nuanced FAQ: student work, coded records, groups, trends, assessment data, and approved tools.</w:t>
      </w:r>
    </w:p>
    <w:p>
      <w:pPr>
        <w:pStyle w:val="ListBullet"/>
      </w:pPr>
      <w:r>
        <w:t>Part 7. Advanced PD pathway: where student-level and group-level analysis could responsibly go next.</w:t>
      </w:r>
    </w:p>
    <w:p>
      <w:pPr>
        <w:pStyle w:val="ListBullet"/>
      </w:pPr>
      <w:r>
        <w:t>Appendix: quick-reference decision ladder, facilitator language, and official sources.</w:t>
      </w:r>
    </w:p>
    <w:tbl>
      <w:tblPr>
        <w:tblW w:type="dxa" w:w="9880"/>
        <w:jc w:val="left"/>
        <w:tblLayout w:type="fixed"/>
        <w:tblLook w:firstColumn="1" w:firstRow="1" w:lastColumn="0" w:lastRow="0" w:noHBand="0" w:noVBand="1" w:val="04A0"/>
        <w:tblInd w:w="0" w:type="dxa"/>
      </w:tblPr>
      <w:tblGrid>
        <w:gridCol w:w="9880"/>
      </w:tblGrid>
      <w:tr>
        <w:trPr>
          <w:cantSplit/>
        </w:trPr>
        <w:tc>
          <w:tcPr>
            <w:tcW w:type="dxa" w:w="9880"/>
            <w:tcMar>
              <w:top w:w="110" w:type="dxa"/>
              <w:start w:w="140" w:type="dxa"/>
              <w:bottom w:w="110" w:type="dxa"/>
              <w:end w:w="140" w:type="dxa"/>
            </w:tcMar>
            <w:shd w:fill="E8F6F3"/>
          </w:tcPr>
          <w:p>
            <w:pPr>
              <w:spacing w:after="60"/>
            </w:pPr>
            <w:r>
              <w:rPr>
                <w:rFonts w:ascii="Arial Narrow" w:hAnsi="Arial Narrow"/>
                <w:b/>
                <w:color w:val="008C84"/>
                <w:sz w:val="19"/>
              </w:rPr>
              <w:t>FACILITATION RULE</w:t>
            </w:r>
          </w:p>
          <w:p>
            <w:pPr>
              <w:spacing w:after="0"/>
            </w:pPr>
            <w:r>
              <w:rPr>
                <w:rFonts w:ascii="Arial" w:hAnsi="Arial"/>
                <w:b w:val="0"/>
                <w:color w:val="123A35"/>
                <w:sz w:val="21"/>
              </w:rPr>
              <w:t>When a participant asks whether a student-data workflow is allowed, do not improvise a yes or no. Name the risk category, explain the decision gates, and route the local permission question to the school owner.</w:t>
            </w:r>
          </w:p>
        </w:tc>
      </w:tr>
    </w:tbl>
    <w:p>
      <w:pPr>
        <w:spacing w:after="0"/>
      </w:pPr>
    </w:p>
    <w:p>
      <w:r>
        <w:br w:type="page"/>
      </w:r>
    </w:p>
    <w:p>
      <w:pPr>
        <w:pStyle w:val="Heading1"/>
      </w:pPr>
      <w:r>
        <w:t>Part 1 | What this lab actually delivers</w:t>
      </w:r>
    </w:p>
    <w:p>
      <w:r>
        <w:t>This is a bounded professional learning product, not an AI feature tour. The teacher leaves with a reusable assistant blueprint for one recurring task. The assistant drafts or organizes. The educator makes every instructional, evaluative, communication, and final-use decision.</w:t>
      </w:r>
    </w:p>
    <w:p>
      <w:pPr>
        <w:pStyle w:val="Heading2"/>
      </w:pPr>
      <w:r>
        <w:t>The finished teacher product</w:t>
      </w:r>
    </w:p>
    <w:p>
      <w:pPr>
        <w:pStyle w:val="ListBullet"/>
      </w:pPr>
      <w:r>
        <w:t>One job: a single repeated task stated in one sentence.</w:t>
      </w:r>
    </w:p>
    <w:p>
      <w:pPr>
        <w:pStyle w:val="ListBullet"/>
      </w:pPr>
      <w:r>
        <w:t>Allowed sources: blank, public, fictional, educator-owned, or school-approved student-neutral material.</w:t>
      </w:r>
    </w:p>
    <w:p>
      <w:pPr>
        <w:pStyle w:val="ListBullet"/>
      </w:pPr>
      <w:r>
        <w:t>Exact output: a predictable structure the teacher can review quickly.</w:t>
      </w:r>
    </w:p>
    <w:p>
      <w:pPr>
        <w:pStyle w:val="ListBullet"/>
      </w:pPr>
      <w:r>
        <w:t>Quality criteria: what makes the draft useful in this teacher's context.</w:t>
      </w:r>
    </w:p>
    <w:p>
      <w:pPr>
        <w:pStyle w:val="ListBullet"/>
      </w:pPr>
      <w:r>
        <w:t>Refusal behavior: when the assistant must stop and request a safe replacement.</w:t>
      </w:r>
    </w:p>
    <w:p>
      <w:pPr>
        <w:pStyle w:val="ListBullet"/>
      </w:pPr>
      <w:r>
        <w:t>Human decision line: what remains exclusively with the teacher.</w:t>
      </w:r>
    </w:p>
    <w:p>
      <w:pPr>
        <w:pStyle w:val="ListBullet"/>
      </w:pPr>
      <w:r>
        <w:t>Fictional test: a rehearsal that does not require student records.</w:t>
      </w:r>
    </w:p>
    <w:p>
      <w:pPr>
        <w:pStyle w:val="ListBullet"/>
      </w:pPr>
      <w:r>
        <w:t>Measurement plan: total task time, correction time, usefulness, safety slips, and keep/revise/stop.</w:t>
      </w:r>
    </w:p>
    <w:p>
      <w:pPr>
        <w:pStyle w:val="Heading2"/>
      </w:pPr>
      <w:r>
        <w:t>What teachers need before they arrive</w:t>
      </w:r>
    </w:p>
    <w:p>
      <w:pPr>
        <w:pStyle w:val="ListBullet"/>
      </w:pPr>
      <w:r>
        <w:t>One recurring task they personally perform.</w:t>
      </w:r>
    </w:p>
    <w:p>
      <w:pPr>
        <w:pStyle w:val="ListBullet"/>
      </w:pPr>
      <w:r>
        <w:t>A laptop or a printed workbook.</w:t>
      </w:r>
    </w:p>
    <w:p>
      <w:pPr>
        <w:pStyle w:val="ListBullet"/>
      </w:pPr>
      <w:r>
        <w:t>Access to the exact school-approved AI environment, if leadership has named one.</w:t>
      </w:r>
    </w:p>
    <w:p>
      <w:pPr>
        <w:pStyle w:val="ListBullet"/>
      </w:pPr>
      <w:r>
        <w:t>Professional judgment and willingness to review a draft.</w:t>
      </w:r>
    </w:p>
    <w:p>
      <w:pPr>
        <w:pStyle w:val="Heading2"/>
      </w:pPr>
      <w:r>
        <w:t>What teachers do not need</w:t>
      </w:r>
    </w:p>
    <w:p>
      <w:pPr>
        <w:pStyle w:val="ListBullet"/>
      </w:pPr>
      <w:r>
        <w:t>AI vocabulary, coding, prompt-engineering experience, or a prebuilt assistant.</w:t>
      </w:r>
    </w:p>
    <w:p>
      <w:pPr>
        <w:pStyle w:val="ListBullet"/>
      </w:pPr>
      <w:r>
        <w:t>Student names, records, identifiable work, grades, attendance, behavior, IEP, 504, counseling, health, discipline, family, personnel, or other confidential data.</w:t>
      </w:r>
    </w:p>
    <w:p>
      <w:pPr>
        <w:pStyle w:val="ListBullet"/>
      </w:pPr>
      <w:r>
        <w:t>A personal account or a workaround when the approved environment is unclear.</w:t>
      </w:r>
    </w:p>
    <w:tbl>
      <w:tblPr>
        <w:tblW w:type="dxa" w:w="9880"/>
        <w:jc w:val="left"/>
        <w:tblLayout w:type="fixed"/>
        <w:tblLook w:firstColumn="1" w:firstRow="1" w:lastColumn="0" w:lastRow="0" w:noHBand="0" w:noVBand="1" w:val="04A0"/>
        <w:tblInd w:w="0" w:type="dxa"/>
      </w:tblPr>
      <w:tblGrid>
        <w:gridCol w:w="9880"/>
      </w:tblGrid>
      <w:tr>
        <w:trPr>
          <w:cantSplit/>
        </w:trPr>
        <w:tc>
          <w:tcPr>
            <w:tcW w:type="dxa" w:w="9880"/>
            <w:tcMar>
              <w:top w:w="110" w:type="dxa"/>
              <w:start w:w="140" w:type="dxa"/>
              <w:bottom w:w="110" w:type="dxa"/>
              <w:end w:w="140" w:type="dxa"/>
            </w:tcMar>
            <w:shd w:fill="E8F6F3"/>
          </w:tcPr>
          <w:p>
            <w:pPr>
              <w:spacing w:after="60"/>
            </w:pPr>
            <w:r>
              <w:rPr>
                <w:rFonts w:ascii="Arial Narrow" w:hAnsi="Arial Narrow"/>
                <w:b/>
                <w:color w:val="008C84"/>
                <w:sz w:val="19"/>
              </w:rPr>
              <w:t>SUCCESS MEASURE</w:t>
            </w:r>
          </w:p>
          <w:p>
            <w:pPr>
              <w:spacing w:after="0"/>
            </w:pPr>
            <w:r>
              <w:rPr>
                <w:rFonts w:ascii="Arial" w:hAnsi="Arial"/>
                <w:b w:val="0"/>
                <w:color w:val="123A35"/>
                <w:sz w:val="21"/>
              </w:rPr>
              <w:t>The goal is not maximum AI use. The goal is one safe, understandable workflow that measurably reduces total work after review and correction.</w:t>
            </w:r>
          </w:p>
        </w:tc>
      </w:tr>
    </w:tbl>
    <w:p>
      <w:pPr>
        <w:spacing w:after="0"/>
      </w:pPr>
    </w:p>
    <w:p>
      <w:r>
        <w:br w:type="page"/>
      </w:r>
    </w:p>
    <w:p>
      <w:pPr>
        <w:pStyle w:val="Heading1"/>
      </w:pPr>
      <w:r>
        <w:t>Part 2 | Leadership setup: 45 minutes</w:t>
      </w:r>
    </w:p>
    <w:tbl>
      <w:tblPr>
        <w:tblW w:type="dxa" w:w="9880"/>
        <w:jc w:val="left"/>
        <w:tblLayout w:type="fixed"/>
        <w:tblLook w:firstColumn="1" w:firstRow="1" w:lastColumn="0" w:lastRow="0" w:noHBand="0" w:noVBand="1" w:val="04A0"/>
        <w:tblInd w:w="0" w:type="dxa"/>
      </w:tblPr>
      <w:tblGrid>
        <w:gridCol w:w="9880"/>
      </w:tblGrid>
      <w:tr>
        <w:trPr>
          <w:cantSplit/>
        </w:trPr>
        <w:tc>
          <w:tcPr>
            <w:tcW w:type="dxa" w:w="9880"/>
            <w:tcMar>
              <w:top w:w="110" w:type="dxa"/>
              <w:start w:w="140" w:type="dxa"/>
              <w:bottom w:w="110" w:type="dxa"/>
              <w:end w:w="140" w:type="dxa"/>
            </w:tcMar>
            <w:shd w:fill="E8F6F3"/>
          </w:tcPr>
          <w:p>
            <w:pPr>
              <w:spacing w:after="60"/>
            </w:pPr>
            <w:r>
              <w:rPr>
                <w:rFonts w:ascii="Arial Narrow" w:hAnsi="Arial Narrow"/>
                <w:b/>
                <w:color w:val="008C84"/>
                <w:sz w:val="19"/>
              </w:rPr>
              <w:t>REQUIRED BEFORE THE LAB</w:t>
            </w:r>
          </w:p>
          <w:p>
            <w:pPr>
              <w:spacing w:after="0"/>
            </w:pPr>
            <w:r>
              <w:rPr>
                <w:rFonts w:ascii="Arial" w:hAnsi="Arial"/>
                <w:b w:val="0"/>
                <w:color w:val="123A35"/>
                <w:sz w:val="21"/>
              </w:rPr>
              <w:t>If the school cannot name the exact approved AI product, account type, access route, and local escalation contact, the session runs in paper/demo mode.</w:t>
            </w:r>
          </w:p>
        </w:tc>
      </w:tr>
    </w:tbl>
    <w:p>
      <w:pPr>
        <w:spacing w:after="0"/>
      </w:pPr>
    </w:p>
    <w:p>
      <w:pPr>
        <w:pStyle w:val="Heading2"/>
      </w:pPr>
      <w:r>
        <w:t>0:00-0:05 | Establish the decision</w:t>
      </w:r>
    </w:p>
    <w:tbl>
      <w:tblPr>
        <w:tblW w:type="dxa" w:w="9880"/>
        <w:jc w:val="left"/>
        <w:tblLayout w:type="fixed"/>
        <w:tblLook w:firstColumn="1" w:firstRow="1" w:lastColumn="0" w:lastRow="0" w:noHBand="0" w:noVBand="1" w:val="04A0"/>
        <w:tblInd w:w="0" w:type="dxa"/>
      </w:tblPr>
      <w:tblGrid>
        <w:gridCol w:w="1500"/>
        <w:gridCol w:w="8380"/>
      </w:tblGrid>
      <w:tr>
        <w:tc>
          <w:tcPr>
            <w:tcW w:type="dxa" w:w="1500"/>
            <w:shd w:fill="063C33"/>
            <w:vAlign w:val="center"/>
            <w:tcMar>
              <w:top w:w="110" w:type="dxa"/>
              <w:start w:w="140" w:type="dxa"/>
              <w:bottom w:w="110" w:type="dxa"/>
              <w:end w:w="140" w:type="dxa"/>
            </w:tcMar>
          </w:tcPr>
          <w:p>
            <w:r>
              <w:rPr>
                <w:rFonts w:ascii="Arial Narrow" w:hAnsi="Arial Narrow"/>
                <w:b/>
                <w:color w:val="FFFFFF"/>
                <w:sz w:val="18"/>
              </w:rPr>
              <w:t>SAY</w:t>
            </w:r>
          </w:p>
        </w:tc>
        <w:tc>
          <w:tcPr>
            <w:tcW w:type="dxa" w:w="8380"/>
            <w:shd w:fill="F8FAF9"/>
            <w:tcMar>
              <w:top w:w="110" w:type="dxa"/>
              <w:start w:w="140" w:type="dxa"/>
              <w:bottom w:w="110" w:type="dxa"/>
              <w:end w:w="140" w:type="dxa"/>
            </w:tcMar>
          </w:tcPr>
          <w:p>
            <w:r>
              <w:rPr>
                <w:rFonts w:ascii="Arial" w:hAnsi="Arial"/>
                <w:color w:val="123A35"/>
                <w:sz w:val="20"/>
              </w:rPr>
              <w:t>This is not a policy-writing meeting and not a vendor demo. We are creating a safe container for one beginner workshop. Teachers need the exact approved environment, visible input boundaries, a human decision line, and a named person for questions outside the lab.</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DECISION</w:t>
            </w:r>
          </w:p>
        </w:tc>
        <w:tc>
          <w:tcPr>
            <w:tcW w:type="dxa" w:w="8380"/>
            <w:shd w:fill="F8FAF9"/>
            <w:tcMar>
              <w:top w:w="110" w:type="dxa"/>
              <w:start w:w="140" w:type="dxa"/>
              <w:bottom w:w="110" w:type="dxa"/>
              <w:end w:w="140" w:type="dxa"/>
            </w:tcMar>
          </w:tcPr>
          <w:p>
            <w:r>
              <w:rPr>
                <w:rFonts w:ascii="Arial" w:hAnsi="Arial"/>
                <w:color w:val="123A35"/>
                <w:sz w:val="20"/>
              </w:rPr>
              <w:t>Confirm sponsor, cohort, date, format, and local decision owner.</w:t>
            </w:r>
          </w:p>
        </w:tc>
      </w:tr>
    </w:tbl>
    <w:p>
      <w:pPr>
        <w:spacing w:after="0"/>
      </w:pPr>
    </w:p>
    <w:p>
      <w:pPr>
        <w:pStyle w:val="Heading2"/>
      </w:pPr>
      <w:r>
        <w:t>0:05-0:15 | Name the approved environment</w:t>
      </w:r>
    </w:p>
    <w:tbl>
      <w:tblPr>
        <w:tblW w:type="dxa" w:w="9880"/>
        <w:jc w:val="left"/>
        <w:tblLayout w:type="fixed"/>
        <w:tblLook w:firstColumn="1" w:firstRow="1" w:lastColumn="0" w:lastRow="0" w:noHBand="0" w:noVBand="1" w:val="04A0"/>
        <w:tblInd w:w="0" w:type="dxa"/>
      </w:tblPr>
      <w:tblGrid>
        <w:gridCol w:w="1500"/>
        <w:gridCol w:w="8380"/>
      </w:tblGrid>
      <w:tr>
        <w:tc>
          <w:tcPr>
            <w:tcW w:type="dxa" w:w="1500"/>
            <w:shd w:fill="063C33"/>
            <w:vAlign w:val="center"/>
            <w:tcMar>
              <w:top w:w="110" w:type="dxa"/>
              <w:start w:w="140" w:type="dxa"/>
              <w:bottom w:w="110" w:type="dxa"/>
              <w:end w:w="140" w:type="dxa"/>
            </w:tcMar>
          </w:tcPr>
          <w:p>
            <w:r>
              <w:rPr>
                <w:rFonts w:ascii="Arial Narrow" w:hAnsi="Arial Narrow"/>
                <w:b/>
                <w:color w:val="FFFFFF"/>
                <w:sz w:val="18"/>
              </w:rPr>
              <w:t>SAY</w:t>
            </w:r>
          </w:p>
        </w:tc>
        <w:tc>
          <w:tcPr>
            <w:tcW w:type="dxa" w:w="8380"/>
            <w:shd w:fill="F8FAF9"/>
            <w:tcMar>
              <w:top w:w="110" w:type="dxa"/>
              <w:start w:w="140" w:type="dxa"/>
              <w:bottom w:w="110" w:type="dxa"/>
              <w:end w:w="140" w:type="dxa"/>
            </w:tcMar>
          </w:tcPr>
          <w:p>
            <w:r>
              <w:rPr>
                <w:rFonts w:ascii="Arial" w:hAnsi="Arial"/>
                <w:color w:val="123A35"/>
                <w:sz w:val="20"/>
              </w:rPr>
              <w:t>What exact product may teachers use? What account or tenant? How do they verify that they are in it? What features or data categories are excluded? Who owns an uncertain answer?</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DECISION</w:t>
            </w:r>
          </w:p>
        </w:tc>
        <w:tc>
          <w:tcPr>
            <w:tcW w:type="dxa" w:w="8380"/>
            <w:shd w:fill="F8FAF9"/>
            <w:tcMar>
              <w:top w:w="110" w:type="dxa"/>
              <w:start w:w="140" w:type="dxa"/>
              <w:bottom w:w="110" w:type="dxa"/>
              <w:end w:w="140" w:type="dxa"/>
            </w:tcMar>
          </w:tcPr>
          <w:p>
            <w:r>
              <w:rPr>
                <w:rFonts w:ascii="Arial" w:hAnsi="Arial"/>
                <w:color w:val="123A35"/>
                <w:sz w:val="20"/>
              </w:rPr>
              <w:t>Write the exact tool and account route on the opening slide. If unknown, select paper/demo mode.</w:t>
            </w:r>
          </w:p>
        </w:tc>
      </w:tr>
    </w:tbl>
    <w:p>
      <w:pPr>
        <w:spacing w:after="0"/>
      </w:pPr>
    </w:p>
    <w:p>
      <w:pPr>
        <w:pStyle w:val="Heading2"/>
      </w:pPr>
      <w:r>
        <w:t>0:15-0:25 | Set the input lanes</w:t>
      </w:r>
    </w:p>
    <w:tbl>
      <w:tblPr>
        <w:tblW w:type="dxa" w:w="9880"/>
        <w:jc w:val="left"/>
        <w:tblLayout w:type="fixed"/>
        <w:tblLook w:firstColumn="1" w:firstRow="1" w:lastColumn="0" w:lastRow="0" w:noHBand="0" w:noVBand="1" w:val="04A0"/>
        <w:tblInd w:w="0" w:type="dxa"/>
      </w:tblPr>
      <w:tblGrid>
        <w:gridCol w:w="1500"/>
        <w:gridCol w:w="8380"/>
      </w:tblGrid>
      <w:tr>
        <w:tc>
          <w:tcPr>
            <w:tcW w:type="dxa" w:w="1500"/>
            <w:shd w:fill="063C33"/>
            <w:vAlign w:val="center"/>
            <w:tcMar>
              <w:top w:w="110" w:type="dxa"/>
              <w:start w:w="140" w:type="dxa"/>
              <w:bottom w:w="110" w:type="dxa"/>
              <w:end w:w="140" w:type="dxa"/>
            </w:tcMar>
          </w:tcPr>
          <w:p>
            <w:r>
              <w:rPr>
                <w:rFonts w:ascii="Arial Narrow" w:hAnsi="Arial Narrow"/>
                <w:b/>
                <w:color w:val="FFFFFF"/>
                <w:sz w:val="18"/>
              </w:rPr>
              <w:t>SAY</w:t>
            </w:r>
          </w:p>
        </w:tc>
        <w:tc>
          <w:tcPr>
            <w:tcW w:type="dxa" w:w="8380"/>
            <w:shd w:fill="F8FAF9"/>
            <w:tcMar>
              <w:top w:w="110" w:type="dxa"/>
              <w:start w:w="140" w:type="dxa"/>
              <w:bottom w:w="110" w:type="dxa"/>
              <w:end w:w="140" w:type="dxa"/>
            </w:tcMar>
          </w:tcPr>
          <w:p>
            <w:r>
              <w:rPr>
                <w:rFonts w:ascii="Arial" w:hAnsi="Arial"/>
                <w:color w:val="123A35"/>
                <w:sz w:val="20"/>
              </w:rPr>
              <w:t>Tool approval and task approval are different questions. An approved account does not make every input or every use appropriate.</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DECISION</w:t>
            </w:r>
          </w:p>
        </w:tc>
        <w:tc>
          <w:tcPr>
            <w:tcW w:type="dxa" w:w="8380"/>
            <w:shd w:fill="F8FAF9"/>
            <w:tcMar>
              <w:top w:w="110" w:type="dxa"/>
              <w:start w:w="140" w:type="dxa"/>
              <w:bottom w:w="110" w:type="dxa"/>
              <w:end w:w="140" w:type="dxa"/>
            </w:tcMar>
          </w:tcPr>
          <w:p>
            <w:r>
              <w:rPr>
                <w:rFonts w:ascii="Arial" w:hAnsi="Arial"/>
                <w:color w:val="123A35"/>
                <w:sz w:val="20"/>
              </w:rPr>
              <w:t>Confirm local examples for green, pause-and-ask, and never-enter categories.</w:t>
            </w:r>
          </w:p>
        </w:tc>
      </w:tr>
    </w:tbl>
    <w:p>
      <w:pPr>
        <w:spacing w:after="0"/>
      </w:pPr>
    </w:p>
    <w:p>
      <w:pPr>
        <w:pStyle w:val="Heading2"/>
      </w:pPr>
      <w:r>
        <w:t>0:25-0:35 | Draw the human decision line</w:t>
      </w:r>
    </w:p>
    <w:tbl>
      <w:tblPr>
        <w:tblW w:type="dxa" w:w="9880"/>
        <w:jc w:val="left"/>
        <w:tblLayout w:type="fixed"/>
        <w:tblLook w:firstColumn="1" w:firstRow="1" w:lastColumn="0" w:lastRow="0" w:noHBand="0" w:noVBand="1" w:val="04A0"/>
        <w:tblInd w:w="0" w:type="dxa"/>
      </w:tblPr>
      <w:tblGrid>
        <w:gridCol w:w="1500"/>
        <w:gridCol w:w="8380"/>
      </w:tblGrid>
      <w:tr>
        <w:tc>
          <w:tcPr>
            <w:tcW w:type="dxa" w:w="1500"/>
            <w:shd w:fill="063C33"/>
            <w:vAlign w:val="center"/>
            <w:tcMar>
              <w:top w:w="110" w:type="dxa"/>
              <w:start w:w="140" w:type="dxa"/>
              <w:bottom w:w="110" w:type="dxa"/>
              <w:end w:w="140" w:type="dxa"/>
            </w:tcMar>
          </w:tcPr>
          <w:p>
            <w:r>
              <w:rPr>
                <w:rFonts w:ascii="Arial Narrow" w:hAnsi="Arial Narrow"/>
                <w:b/>
                <w:color w:val="FFFFFF"/>
                <w:sz w:val="18"/>
              </w:rPr>
              <w:t>SAY</w:t>
            </w:r>
          </w:p>
        </w:tc>
        <w:tc>
          <w:tcPr>
            <w:tcW w:type="dxa" w:w="8380"/>
            <w:shd w:fill="F8FAF9"/>
            <w:tcMar>
              <w:top w:w="110" w:type="dxa"/>
              <w:start w:w="140" w:type="dxa"/>
              <w:bottom w:w="110" w:type="dxa"/>
              <w:end w:w="140" w:type="dxa"/>
            </w:tcMar>
          </w:tcPr>
          <w:p>
            <w:r>
              <w:rPr>
                <w:rFonts w:ascii="Arial" w:hAnsi="Arial"/>
                <w:color w:val="123A35"/>
                <w:sz w:val="20"/>
              </w:rPr>
              <w:t>The assistant may draft, organize, reformat, summarize approved neutral material, or propose options. It does not make student-level or regulated decisions.</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DECISION</w:t>
            </w:r>
          </w:p>
        </w:tc>
        <w:tc>
          <w:tcPr>
            <w:tcW w:type="dxa" w:w="8380"/>
            <w:shd w:fill="F8FAF9"/>
            <w:tcMar>
              <w:top w:w="110" w:type="dxa"/>
              <w:start w:w="140" w:type="dxa"/>
              <w:bottom w:w="110" w:type="dxa"/>
              <w:end w:w="140" w:type="dxa"/>
            </w:tcMar>
          </w:tcPr>
          <w:p>
            <w:r>
              <w:rPr>
                <w:rFonts w:ascii="Arial" w:hAnsi="Arial"/>
                <w:color w:val="123A35"/>
                <w:sz w:val="20"/>
              </w:rPr>
              <w:t>Name the required accuracy, bias, appropriateness, and alignment review.</w:t>
            </w:r>
          </w:p>
        </w:tc>
      </w:tr>
    </w:tbl>
    <w:p>
      <w:pPr>
        <w:spacing w:after="0"/>
      </w:pPr>
    </w:p>
    <w:p>
      <w:pPr>
        <w:pStyle w:val="Heading2"/>
      </w:pPr>
      <w:r>
        <w:t>0:35-0:42 | Choose the first-build lanes</w:t>
      </w:r>
    </w:p>
    <w:tbl>
      <w:tblPr>
        <w:tblW w:type="dxa" w:w="9880"/>
        <w:jc w:val="left"/>
        <w:tblLayout w:type="fixed"/>
        <w:tblLook w:firstColumn="1" w:firstRow="1" w:lastColumn="0" w:lastRow="0" w:noHBand="0" w:noVBand="1" w:val="04A0"/>
        <w:tblInd w:w="0" w:type="dxa"/>
      </w:tblPr>
      <w:tblGrid>
        <w:gridCol w:w="1500"/>
        <w:gridCol w:w="8380"/>
      </w:tblGrid>
      <w:tr>
        <w:tc>
          <w:tcPr>
            <w:tcW w:type="dxa" w:w="1500"/>
            <w:shd w:fill="063C33"/>
            <w:vAlign w:val="center"/>
            <w:tcMar>
              <w:top w:w="110" w:type="dxa"/>
              <w:start w:w="140" w:type="dxa"/>
              <w:bottom w:w="110" w:type="dxa"/>
              <w:end w:w="140" w:type="dxa"/>
            </w:tcMar>
          </w:tcPr>
          <w:p>
            <w:r>
              <w:rPr>
                <w:rFonts w:ascii="Arial Narrow" w:hAnsi="Arial Narrow"/>
                <w:b/>
                <w:color w:val="FFFFFF"/>
                <w:sz w:val="18"/>
              </w:rPr>
              <w:t>SAY</w:t>
            </w:r>
          </w:p>
        </w:tc>
        <w:tc>
          <w:tcPr>
            <w:tcW w:type="dxa" w:w="8380"/>
            <w:shd w:fill="F8FAF9"/>
            <w:tcMar>
              <w:top w:w="110" w:type="dxa"/>
              <w:start w:w="140" w:type="dxa"/>
              <w:bottom w:w="110" w:type="dxa"/>
              <w:end w:w="140" w:type="dxa"/>
            </w:tcMar>
          </w:tcPr>
          <w:p>
            <w:r>
              <w:rPr>
                <w:rFonts w:ascii="Arial" w:hAnsi="Arial"/>
                <w:color w:val="123A35"/>
                <w:sz w:val="20"/>
              </w:rPr>
              <w:t>Which two or three lower-risk tasks match this cohort and can be verified quickly without student records?</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DECISION</w:t>
            </w:r>
          </w:p>
        </w:tc>
        <w:tc>
          <w:tcPr>
            <w:tcW w:type="dxa" w:w="8380"/>
            <w:shd w:fill="F8FAF9"/>
            <w:tcMar>
              <w:top w:w="110" w:type="dxa"/>
              <w:start w:w="140" w:type="dxa"/>
              <w:bottom w:w="110" w:type="dxa"/>
              <w:end w:w="140" w:type="dxa"/>
            </w:tcMar>
          </w:tcPr>
          <w:p>
            <w:r>
              <w:rPr>
                <w:rFonts w:ascii="Arial" w:hAnsi="Arial"/>
                <w:color w:val="123A35"/>
                <w:sz w:val="20"/>
              </w:rPr>
              <w:t>Select Reuse Planner, neutral Family Message Drafter, approved Meeting-to-Action Assistant, Teaching Library Organizer, or Feedback Framework Builder.</w:t>
            </w:r>
          </w:p>
        </w:tc>
      </w:tr>
    </w:tbl>
    <w:p>
      <w:pPr>
        <w:spacing w:after="0"/>
      </w:pPr>
    </w:p>
    <w:p>
      <w:pPr>
        <w:pStyle w:val="Heading2"/>
      </w:pPr>
      <w:r>
        <w:t>0:42-0:45 | Confirm day-of ownership</w:t>
      </w:r>
    </w:p>
    <w:tbl>
      <w:tblPr>
        <w:tblW w:type="dxa" w:w="9880"/>
        <w:jc w:val="left"/>
        <w:tblLayout w:type="fixed"/>
        <w:tblLook w:firstColumn="1" w:firstRow="1" w:lastColumn="0" w:lastRow="0" w:noHBand="0" w:noVBand="1" w:val="04A0"/>
        <w:tblInd w:w="0" w:type="dxa"/>
      </w:tblPr>
      <w:tblGrid>
        <w:gridCol w:w="1500"/>
        <w:gridCol w:w="8380"/>
      </w:tblGrid>
      <w:tr>
        <w:tc>
          <w:tcPr>
            <w:tcW w:type="dxa" w:w="1500"/>
            <w:shd w:fill="063C33"/>
            <w:vAlign w:val="center"/>
            <w:tcMar>
              <w:top w:w="110" w:type="dxa"/>
              <w:start w:w="140" w:type="dxa"/>
              <w:bottom w:w="110" w:type="dxa"/>
              <w:end w:w="140" w:type="dxa"/>
            </w:tcMar>
          </w:tcPr>
          <w:p>
            <w:r>
              <w:rPr>
                <w:rFonts w:ascii="Arial Narrow" w:hAnsi="Arial Narrow"/>
                <w:b/>
                <w:color w:val="FFFFFF"/>
                <w:sz w:val="18"/>
              </w:rPr>
              <w:t>SAY</w:t>
            </w:r>
          </w:p>
        </w:tc>
        <w:tc>
          <w:tcPr>
            <w:tcW w:type="dxa" w:w="8380"/>
            <w:shd w:fill="F8FAF9"/>
            <w:tcMar>
              <w:top w:w="110" w:type="dxa"/>
              <w:start w:w="140" w:type="dxa"/>
              <w:bottom w:w="110" w:type="dxa"/>
              <w:end w:w="140" w:type="dxa"/>
            </w:tcMar>
          </w:tcPr>
          <w:p>
            <w:r>
              <w:rPr>
                <w:rFonts w:ascii="Arial" w:hAnsi="Arial"/>
                <w:color w:val="123A35"/>
                <w:sz w:val="20"/>
              </w:rPr>
              <w:t>Who opens the session, handles sign-in, answers local questions, captures unresolved issues, and schedules the follow-up?</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DECISION</w:t>
            </w:r>
          </w:p>
        </w:tc>
        <w:tc>
          <w:tcPr>
            <w:tcW w:type="dxa" w:w="8380"/>
            <w:shd w:fill="F8FAF9"/>
            <w:tcMar>
              <w:top w:w="110" w:type="dxa"/>
              <w:start w:w="140" w:type="dxa"/>
              <w:bottom w:w="110" w:type="dxa"/>
              <w:end w:w="140" w:type="dxa"/>
            </w:tcMar>
          </w:tcPr>
          <w:p>
            <w:r>
              <w:rPr>
                <w:rFonts w:ascii="Arial" w:hAnsi="Arial"/>
                <w:color w:val="123A35"/>
                <w:sz w:val="20"/>
              </w:rPr>
              <w:t>Complete the readiness checklist before promoting the lab.</w:t>
            </w:r>
          </w:p>
        </w:tc>
      </w:tr>
    </w:tbl>
    <w:p>
      <w:pPr>
        <w:spacing w:after="0"/>
      </w:pPr>
    </w:p>
    <w:p>
      <w:pPr>
        <w:pStyle w:val="Heading2"/>
      </w:pPr>
      <w:r>
        <w:t>Leadership readiness checklist</w:t>
      </w:r>
    </w:p>
    <w:p>
      <w:pPr>
        <w:pStyle w:val="ListBullet"/>
      </w:pPr>
      <w:r>
        <w:t>[ ] Exact approved product and account named.</w:t>
      </w:r>
    </w:p>
    <w:p>
      <w:pPr>
        <w:pStyle w:val="ListBullet"/>
      </w:pPr>
      <w:r>
        <w:t>[ ] Data and task restrictions available in plain language.</w:t>
      </w:r>
    </w:p>
    <w:p>
      <w:pPr>
        <w:pStyle w:val="ListBullet"/>
      </w:pPr>
      <w:r>
        <w:t>[ ] Privacy/data owner and technology support contact named.</w:t>
      </w:r>
    </w:p>
    <w:p>
      <w:pPr>
        <w:pStyle w:val="ListBullet"/>
      </w:pPr>
      <w:r>
        <w:t>[ ] School host knows the lab uses no student records.</w:t>
      </w:r>
    </w:p>
    <w:p>
      <w:pPr>
        <w:pStyle w:val="ListBullet"/>
      </w:pPr>
      <w:r>
        <w:t>[ ] Fictional practice pack and paper/demo fallback ready.</w:t>
      </w:r>
    </w:p>
    <w:p>
      <w:pPr>
        <w:pStyle w:val="ListBullet"/>
      </w:pPr>
      <w:r>
        <w:t>[ ] Two-week follow-up date reserved.</w:t>
      </w:r>
    </w:p>
    <w:p>
      <w:r>
        <w:br w:type="page"/>
      </w:r>
    </w:p>
    <w:p>
      <w:pPr>
        <w:pStyle w:val="Heading1"/>
      </w:pPr>
      <w:r>
        <w:t>Part 3 | Teacher build lab: 90 minutes</w:t>
      </w:r>
    </w:p>
    <w:p>
      <w:pPr>
        <w:pStyle w:val="Heading2"/>
      </w:pPr>
      <w:r>
        <w:t>0:00-0:05 | Welcome and lower the entry point</w:t>
      </w:r>
    </w:p>
    <w:tbl>
      <w:tblPr>
        <w:tblW w:type="dxa" w:w="9880"/>
        <w:jc w:val="left"/>
        <w:tblLayout w:type="fixed"/>
        <w:tblLook w:firstColumn="1" w:firstRow="1" w:lastColumn="0" w:lastRow="0" w:noHBand="0" w:noVBand="1" w:val="04A0"/>
        <w:tblInd w:w="0" w:type="dxa"/>
      </w:tblPr>
      <w:tblGrid>
        <w:gridCol w:w="1500"/>
        <w:gridCol w:w="8380"/>
      </w:tblGrid>
      <w:tr>
        <w:tc>
          <w:tcPr>
            <w:tcW w:type="dxa" w:w="1500"/>
            <w:shd w:fill="063C33"/>
            <w:vAlign w:val="center"/>
            <w:tcMar>
              <w:top w:w="110" w:type="dxa"/>
              <w:start w:w="140" w:type="dxa"/>
              <w:bottom w:w="110" w:type="dxa"/>
              <w:end w:w="140" w:type="dxa"/>
            </w:tcMar>
          </w:tcPr>
          <w:p>
            <w:r>
              <w:rPr>
                <w:rFonts w:ascii="Arial Narrow" w:hAnsi="Arial Narrow"/>
                <w:b/>
                <w:color w:val="FFFFFF"/>
                <w:sz w:val="18"/>
              </w:rPr>
              <w:t>SAY</w:t>
            </w:r>
          </w:p>
        </w:tc>
        <w:tc>
          <w:tcPr>
            <w:tcW w:type="dxa" w:w="8380"/>
            <w:shd w:fill="F8FAF9"/>
            <w:tcMar>
              <w:top w:w="110" w:type="dxa"/>
              <w:start w:w="140" w:type="dxa"/>
              <w:bottom w:w="110" w:type="dxa"/>
              <w:end w:w="140" w:type="dxa"/>
            </w:tcMar>
          </w:tcPr>
          <w:p>
            <w:r>
              <w:rPr>
                <w:rFonts w:ascii="Arial" w:hAnsi="Arial"/>
                <w:color w:val="123A35"/>
                <w:sz w:val="20"/>
              </w:rPr>
              <w:t>You are not here to master AI. You are here to stop rebuilding one piece of work. You need one repeated task, the school's approved environment, and your professional judgment. I will give you the structure. We will not use student records today.</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SHOW</w:t>
            </w:r>
          </w:p>
        </w:tc>
        <w:tc>
          <w:tcPr>
            <w:tcW w:type="dxa" w:w="8380"/>
            <w:shd w:fill="F8FAF9"/>
            <w:tcMar>
              <w:top w:w="110" w:type="dxa"/>
              <w:start w:w="140" w:type="dxa"/>
              <w:bottom w:w="110" w:type="dxa"/>
              <w:end w:w="140" w:type="dxa"/>
            </w:tcMar>
          </w:tcPr>
          <w:p>
            <w:r>
              <w:rPr>
                <w:rFonts w:ascii="Arial" w:hAnsi="Arial"/>
                <w:color w:val="123A35"/>
                <w:sz w:val="20"/>
              </w:rPr>
              <w:t>The opening promise and one finished Reuse Planner example.</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PARTICIPANTS</w:t>
            </w:r>
          </w:p>
        </w:tc>
        <w:tc>
          <w:tcPr>
            <w:tcW w:type="dxa" w:w="8380"/>
            <w:shd w:fill="F8FAF9"/>
            <w:tcMar>
              <w:top w:w="110" w:type="dxa"/>
              <w:start w:w="140" w:type="dxa"/>
              <w:bottom w:w="110" w:type="dxa"/>
              <w:end w:w="140" w:type="dxa"/>
            </w:tcMar>
          </w:tcPr>
          <w:p>
            <w:r>
              <w:rPr>
                <w:rFonts w:ascii="Arial" w:hAnsi="Arial"/>
                <w:color w:val="123A35"/>
                <w:sz w:val="20"/>
              </w:rPr>
              <w:t>Complete the sentence: I keep rebuilding, rewriting, reorganizing, or carrying home...</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LISTEN FOR</w:t>
            </w:r>
          </w:p>
        </w:tc>
        <w:tc>
          <w:tcPr>
            <w:tcW w:type="dxa" w:w="8380"/>
            <w:shd w:fill="F8FAF9"/>
            <w:tcMar>
              <w:top w:w="110" w:type="dxa"/>
              <w:start w:w="140" w:type="dxa"/>
              <w:bottom w:w="110" w:type="dxa"/>
              <w:end w:w="140" w:type="dxa"/>
            </w:tcMar>
          </w:tcPr>
          <w:p>
            <w:r>
              <w:rPr>
                <w:rFonts w:ascii="Arial" w:hAnsi="Arial"/>
                <w:color w:val="123A35"/>
                <w:sz w:val="20"/>
              </w:rPr>
              <w:t>Broad tasks such as planning, emails, grading, meetings. Do not correct yet. Help each person name one recurring burden.</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DECISION</w:t>
            </w:r>
          </w:p>
        </w:tc>
        <w:tc>
          <w:tcPr>
            <w:tcW w:type="dxa" w:w="8380"/>
            <w:shd w:fill="F8FAF9"/>
            <w:tcMar>
              <w:top w:w="110" w:type="dxa"/>
              <w:start w:w="140" w:type="dxa"/>
              <w:bottom w:w="110" w:type="dxa"/>
              <w:end w:w="140" w:type="dxa"/>
            </w:tcMar>
          </w:tcPr>
          <w:p>
            <w:r>
              <w:rPr>
                <w:rFonts w:ascii="Arial" w:hAnsi="Arial"/>
                <w:color w:val="123A35"/>
                <w:sz w:val="20"/>
              </w:rPr>
              <w:t>Everyone has a time drain to examine.</w:t>
            </w:r>
          </w:p>
        </w:tc>
      </w:tr>
    </w:tbl>
    <w:p>
      <w:pPr>
        <w:spacing w:after="0"/>
      </w:pPr>
    </w:p>
    <w:p>
      <w:pPr>
        <w:pStyle w:val="Heading2"/>
      </w:pPr>
      <w:r>
        <w:t>0:05-0:12 | Show the finished product first</w:t>
      </w:r>
    </w:p>
    <w:tbl>
      <w:tblPr>
        <w:tblW w:type="dxa" w:w="9880"/>
        <w:jc w:val="left"/>
        <w:tblLayout w:type="fixed"/>
        <w:tblLook w:firstColumn="1" w:firstRow="1" w:lastColumn="0" w:lastRow="0" w:noHBand="0" w:noVBand="1" w:val="04A0"/>
        <w:tblInd w:w="0" w:type="dxa"/>
      </w:tblPr>
      <w:tblGrid>
        <w:gridCol w:w="1500"/>
        <w:gridCol w:w="8380"/>
      </w:tblGrid>
      <w:tr>
        <w:tc>
          <w:tcPr>
            <w:tcW w:type="dxa" w:w="1500"/>
            <w:shd w:fill="063C33"/>
            <w:vAlign w:val="center"/>
            <w:tcMar>
              <w:top w:w="110" w:type="dxa"/>
              <w:start w:w="140" w:type="dxa"/>
              <w:bottom w:w="110" w:type="dxa"/>
              <w:end w:w="140" w:type="dxa"/>
            </w:tcMar>
          </w:tcPr>
          <w:p>
            <w:r>
              <w:rPr>
                <w:rFonts w:ascii="Arial Narrow" w:hAnsi="Arial Narrow"/>
                <w:b/>
                <w:color w:val="FFFFFF"/>
                <w:sz w:val="18"/>
              </w:rPr>
              <w:t>SAY</w:t>
            </w:r>
          </w:p>
        </w:tc>
        <w:tc>
          <w:tcPr>
            <w:tcW w:type="dxa" w:w="8380"/>
            <w:shd w:fill="F8FAF9"/>
            <w:tcMar>
              <w:top w:w="110" w:type="dxa"/>
              <w:start w:w="140" w:type="dxa"/>
              <w:bottom w:w="110" w:type="dxa"/>
              <w:end w:w="140" w:type="dxa"/>
            </w:tcMar>
          </w:tcPr>
          <w:p>
            <w:r>
              <w:rPr>
                <w:rFonts w:ascii="Arial" w:hAnsi="Arial"/>
                <w:color w:val="123A35"/>
                <w:sz w:val="20"/>
              </w:rPr>
              <w:t>This is what you are leaving with. It is more durable than a clever one-time prompt because it names the job, sources, output, stop line, and the decision only you can make.</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SHOW</w:t>
            </w:r>
          </w:p>
        </w:tc>
        <w:tc>
          <w:tcPr>
            <w:tcW w:type="dxa" w:w="8380"/>
            <w:shd w:fill="F8FAF9"/>
            <w:tcMar>
              <w:top w:w="110" w:type="dxa"/>
              <w:start w:w="140" w:type="dxa"/>
              <w:bottom w:w="110" w:type="dxa"/>
              <w:end w:w="140" w:type="dxa"/>
            </w:tcMar>
          </w:tcPr>
          <w:p>
            <w:r>
              <w:rPr>
                <w:rFonts w:ascii="Arial" w:hAnsi="Arial"/>
                <w:color w:val="123A35"/>
                <w:sz w:val="20"/>
              </w:rPr>
              <w:t>The six fields in the Completed Reuse Planner Example and one fictional input/output pair.</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PARTICIPANTS</w:t>
            </w:r>
          </w:p>
        </w:tc>
        <w:tc>
          <w:tcPr>
            <w:tcW w:type="dxa" w:w="8380"/>
            <w:shd w:fill="F8FAF9"/>
            <w:tcMar>
              <w:top w:w="110" w:type="dxa"/>
              <w:start w:w="140" w:type="dxa"/>
              <w:bottom w:w="110" w:type="dxa"/>
              <w:end w:w="140" w:type="dxa"/>
            </w:tcMar>
          </w:tcPr>
          <w:p>
            <w:r>
              <w:rPr>
                <w:rFonts w:ascii="Arial" w:hAnsi="Arial"/>
                <w:color w:val="123A35"/>
                <w:sz w:val="20"/>
              </w:rPr>
              <w:t>Circle the field that would make an AI draft easiest for you to check.</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LISTEN FOR</w:t>
            </w:r>
          </w:p>
        </w:tc>
        <w:tc>
          <w:tcPr>
            <w:tcW w:type="dxa" w:w="8380"/>
            <w:shd w:fill="F8FAF9"/>
            <w:tcMar>
              <w:top w:w="110" w:type="dxa"/>
              <w:start w:w="140" w:type="dxa"/>
              <w:bottom w:w="110" w:type="dxa"/>
              <w:end w:w="140" w:type="dxa"/>
            </w:tcMar>
          </w:tcPr>
          <w:p>
            <w:r>
              <w:rPr>
                <w:rFonts w:ascii="Arial" w:hAnsi="Arial"/>
                <w:color w:val="123A35"/>
                <w:sz w:val="20"/>
              </w:rPr>
              <w:t>Questions about whether this is a prompt, an assistant, or a tool. Answer: it is a reusable instruction blueprint implemented only in the approved environment.</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DECISION</w:t>
            </w:r>
          </w:p>
        </w:tc>
        <w:tc>
          <w:tcPr>
            <w:tcW w:type="dxa" w:w="8380"/>
            <w:shd w:fill="F8FAF9"/>
            <w:tcMar>
              <w:top w:w="110" w:type="dxa"/>
              <w:start w:w="140" w:type="dxa"/>
              <w:bottom w:w="110" w:type="dxa"/>
              <w:end w:w="140" w:type="dxa"/>
            </w:tcMar>
          </w:tcPr>
          <w:p>
            <w:r>
              <w:rPr>
                <w:rFonts w:ascii="Arial" w:hAnsi="Arial"/>
                <w:color w:val="123A35"/>
                <w:sz w:val="20"/>
              </w:rPr>
              <w:t>Participants can describe the product in plain language.</w:t>
            </w:r>
          </w:p>
        </w:tc>
      </w:tr>
    </w:tbl>
    <w:p>
      <w:pPr>
        <w:spacing w:after="0"/>
      </w:pPr>
    </w:p>
    <w:p>
      <w:pPr>
        <w:pStyle w:val="Heading2"/>
      </w:pPr>
      <w:r>
        <w:t>0:12-0:25 | Step 1: Choose one task</w:t>
      </w:r>
    </w:p>
    <w:tbl>
      <w:tblPr>
        <w:tblW w:type="dxa" w:w="9880"/>
        <w:jc w:val="left"/>
        <w:tblLayout w:type="fixed"/>
        <w:tblLook w:firstColumn="1" w:firstRow="1" w:lastColumn="0" w:lastRow="0" w:noHBand="0" w:noVBand="1" w:val="04A0"/>
        <w:tblInd w:w="0" w:type="dxa"/>
      </w:tblPr>
      <w:tblGrid>
        <w:gridCol w:w="1500"/>
        <w:gridCol w:w="8380"/>
      </w:tblGrid>
      <w:tr>
        <w:tc>
          <w:tcPr>
            <w:tcW w:type="dxa" w:w="1500"/>
            <w:shd w:fill="063C33"/>
            <w:vAlign w:val="center"/>
            <w:tcMar>
              <w:top w:w="110" w:type="dxa"/>
              <w:start w:w="140" w:type="dxa"/>
              <w:bottom w:w="110" w:type="dxa"/>
              <w:end w:w="140" w:type="dxa"/>
            </w:tcMar>
          </w:tcPr>
          <w:p>
            <w:r>
              <w:rPr>
                <w:rFonts w:ascii="Arial Narrow" w:hAnsi="Arial Narrow"/>
                <w:b/>
                <w:color w:val="FFFFFF"/>
                <w:sz w:val="18"/>
              </w:rPr>
              <w:t>SAY</w:t>
            </w:r>
          </w:p>
        </w:tc>
        <w:tc>
          <w:tcPr>
            <w:tcW w:type="dxa" w:w="8380"/>
            <w:shd w:fill="F8FAF9"/>
            <w:tcMar>
              <w:top w:w="110" w:type="dxa"/>
              <w:start w:w="140" w:type="dxa"/>
              <w:bottom w:w="110" w:type="dxa"/>
              <w:end w:w="140" w:type="dxa"/>
            </w:tcMar>
          </w:tcPr>
          <w:p>
            <w:r>
              <w:rPr>
                <w:rFonts w:ascii="Arial" w:hAnsi="Arial"/>
                <w:color w:val="123A35"/>
                <w:sz w:val="20"/>
              </w:rPr>
              <w:t>The first assistant should be boring in the best possible way. Choose a repeated, bounded task you can check quickly.</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SHOW</w:t>
            </w:r>
          </w:p>
        </w:tc>
        <w:tc>
          <w:tcPr>
            <w:tcW w:type="dxa" w:w="8380"/>
            <w:shd w:fill="F8FAF9"/>
            <w:tcMar>
              <w:top w:w="110" w:type="dxa"/>
              <w:start w:w="140" w:type="dxa"/>
              <w:bottom w:w="110" w:type="dxa"/>
              <w:end w:w="140" w:type="dxa"/>
            </w:tcMar>
          </w:tcPr>
          <w:p>
            <w:r>
              <w:rPr>
                <w:rFonts w:ascii="Arial" w:hAnsi="Arial"/>
                <w:color w:val="123A35"/>
                <w:sz w:val="20"/>
              </w:rPr>
              <w:t>The four filters: repeatable, student-neutral, reviewable, bounded.</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PARTICIPANTS</w:t>
            </w:r>
          </w:p>
        </w:tc>
        <w:tc>
          <w:tcPr>
            <w:tcW w:type="dxa" w:w="8380"/>
            <w:shd w:fill="F8FAF9"/>
            <w:tcMar>
              <w:top w:w="110" w:type="dxa"/>
              <w:start w:w="140" w:type="dxa"/>
              <w:bottom w:w="110" w:type="dxa"/>
              <w:end w:w="140" w:type="dxa"/>
            </w:tcMar>
          </w:tcPr>
          <w:p>
            <w:r>
              <w:rPr>
                <w:rFonts w:ascii="Arial" w:hAnsi="Arial"/>
                <w:color w:val="123A35"/>
                <w:sz w:val="20"/>
              </w:rPr>
              <w:t>List up to three time drains. Circle one that passes all four filters. Estimate frequency, current minutes, and what the recovered time would be for.</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LISTEN FOR</w:t>
            </w:r>
          </w:p>
        </w:tc>
        <w:tc>
          <w:tcPr>
            <w:tcW w:type="dxa" w:w="8380"/>
            <w:shd w:fill="F8FAF9"/>
            <w:tcMar>
              <w:top w:w="110" w:type="dxa"/>
              <w:start w:w="140" w:type="dxa"/>
              <w:bottom w:w="110" w:type="dxa"/>
              <w:end w:w="140" w:type="dxa"/>
            </w:tcMar>
          </w:tcPr>
          <w:p>
            <w:r>
              <w:rPr>
                <w:rFonts w:ascii="Arial" w:hAnsi="Arial"/>
                <w:color w:val="123A35"/>
                <w:sz w:val="20"/>
              </w:rPr>
              <w:t>Tasks that quietly depend on student records, make student decisions, or are too broad. Narrow or reroute them.</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DECISION</w:t>
            </w:r>
          </w:p>
        </w:tc>
        <w:tc>
          <w:tcPr>
            <w:tcW w:type="dxa" w:w="8380"/>
            <w:shd w:fill="F8FAF9"/>
            <w:tcMar>
              <w:top w:w="110" w:type="dxa"/>
              <w:start w:w="140" w:type="dxa"/>
              <w:bottom w:w="110" w:type="dxa"/>
              <w:end w:w="140" w:type="dxa"/>
            </w:tcMar>
          </w:tcPr>
          <w:p>
            <w:r>
              <w:rPr>
                <w:rFonts w:ascii="Arial" w:hAnsi="Arial"/>
                <w:color w:val="123A35"/>
                <w:sz w:val="20"/>
              </w:rPr>
              <w:t>Each participant has one job stated in one sentence.</w:t>
            </w:r>
          </w:p>
        </w:tc>
      </w:tr>
    </w:tbl>
    <w:p>
      <w:pPr>
        <w:spacing w:after="0"/>
      </w:pPr>
    </w:p>
    <w:p>
      <w:pPr>
        <w:pStyle w:val="Heading2"/>
      </w:pPr>
      <w:r>
        <w:t>0:25-0:40 | Step 2: Protect the inputs</w:t>
      </w:r>
    </w:p>
    <w:tbl>
      <w:tblPr>
        <w:tblW w:type="dxa" w:w="9880"/>
        <w:jc w:val="left"/>
        <w:tblLayout w:type="fixed"/>
        <w:tblLook w:firstColumn="1" w:firstRow="1" w:lastColumn="0" w:lastRow="0" w:noHBand="0" w:noVBand="1" w:val="04A0"/>
        <w:tblInd w:w="0" w:type="dxa"/>
      </w:tblPr>
      <w:tblGrid>
        <w:gridCol w:w="1500"/>
        <w:gridCol w:w="8380"/>
      </w:tblGrid>
      <w:tr>
        <w:tc>
          <w:tcPr>
            <w:tcW w:type="dxa" w:w="1500"/>
            <w:shd w:fill="063C33"/>
            <w:vAlign w:val="center"/>
            <w:tcMar>
              <w:top w:w="110" w:type="dxa"/>
              <w:start w:w="140" w:type="dxa"/>
              <w:bottom w:w="110" w:type="dxa"/>
              <w:end w:w="140" w:type="dxa"/>
            </w:tcMar>
          </w:tcPr>
          <w:p>
            <w:r>
              <w:rPr>
                <w:rFonts w:ascii="Arial Narrow" w:hAnsi="Arial Narrow"/>
                <w:b/>
                <w:color w:val="FFFFFF"/>
                <w:sz w:val="18"/>
              </w:rPr>
              <w:t>SAY</w:t>
            </w:r>
          </w:p>
        </w:tc>
        <w:tc>
          <w:tcPr>
            <w:tcW w:type="dxa" w:w="8380"/>
            <w:shd w:fill="F8FAF9"/>
            <w:tcMar>
              <w:top w:w="110" w:type="dxa"/>
              <w:start w:w="140" w:type="dxa"/>
              <w:bottom w:w="110" w:type="dxa"/>
              <w:end w:w="140" w:type="dxa"/>
            </w:tcMar>
          </w:tcPr>
          <w:p>
            <w:r>
              <w:rPr>
                <w:rFonts w:ascii="Arial" w:hAnsi="Arial"/>
                <w:color w:val="123A35"/>
                <w:sz w:val="20"/>
              </w:rPr>
              <w:t>Before we write instructions, we decide what is allowed through the door. A name is not the only identifier. Details can identify someone alone or in combination.</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SHOW</w:t>
            </w:r>
          </w:p>
        </w:tc>
        <w:tc>
          <w:tcPr>
            <w:tcW w:type="dxa" w:w="8380"/>
            <w:shd w:fill="F8FAF9"/>
            <w:tcMar>
              <w:top w:w="110" w:type="dxa"/>
              <w:start w:w="140" w:type="dxa"/>
              <w:bottom w:w="110" w:type="dxa"/>
              <w:end w:w="140" w:type="dxa"/>
            </w:tcMar>
          </w:tcPr>
          <w:p>
            <w:r>
              <w:rPr>
                <w:rFonts w:ascii="Arial" w:hAnsi="Arial"/>
                <w:color w:val="123A35"/>
                <w:sz w:val="20"/>
              </w:rPr>
              <w:t>Green, pause-and-ask, and never-enter cards plus the exact approved product/account.</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PARTICIPANTS</w:t>
            </w:r>
          </w:p>
        </w:tc>
        <w:tc>
          <w:tcPr>
            <w:tcW w:type="dxa" w:w="8380"/>
            <w:shd w:fill="F8FAF9"/>
            <w:tcMar>
              <w:top w:w="110" w:type="dxa"/>
              <w:start w:w="140" w:type="dxa"/>
              <w:bottom w:w="110" w:type="dxa"/>
              <w:end w:w="140" w:type="dxa"/>
            </w:tcMar>
          </w:tcPr>
          <w:p>
            <w:r>
              <w:rPr>
                <w:rFonts w:ascii="Arial" w:hAnsi="Arial"/>
                <w:color w:val="123A35"/>
                <w:sz w:val="20"/>
              </w:rPr>
              <w:t>List allowed sources, never-enter categories, and the person to ask when unsure.</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LISTEN FOR</w:t>
            </w:r>
          </w:p>
        </w:tc>
        <w:tc>
          <w:tcPr>
            <w:tcW w:type="dxa" w:w="8380"/>
            <w:shd w:fill="F8FAF9"/>
            <w:tcMar>
              <w:top w:w="110" w:type="dxa"/>
              <w:start w:w="140" w:type="dxa"/>
              <w:bottom w:w="110" w:type="dxa"/>
              <w:end w:w="140" w:type="dxa"/>
            </w:tcMar>
          </w:tcPr>
          <w:p>
            <w:r>
              <w:rPr>
                <w:rFonts w:ascii="Arial" w:hAnsi="Arial"/>
                <w:color w:val="123A35"/>
                <w:sz w:val="20"/>
              </w:rPr>
              <w:t>Names removed but rare details retained, personal accounts, real student work, or uncertainty about tool approval.</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DECISION</w:t>
            </w:r>
          </w:p>
        </w:tc>
        <w:tc>
          <w:tcPr>
            <w:tcW w:type="dxa" w:w="8380"/>
            <w:shd w:fill="F8FAF9"/>
            <w:tcMar>
              <w:top w:w="110" w:type="dxa"/>
              <w:start w:w="140" w:type="dxa"/>
              <w:bottom w:w="110" w:type="dxa"/>
              <w:end w:w="140" w:type="dxa"/>
            </w:tcMar>
          </w:tcPr>
          <w:p>
            <w:r>
              <w:rPr>
                <w:rFonts w:ascii="Arial" w:hAnsi="Arial"/>
                <w:color w:val="123A35"/>
                <w:sz w:val="20"/>
              </w:rPr>
              <w:t>Every participant has both an allowed-input list and a never-enter list. Unknown approval means blueprint mode only.</w:t>
            </w:r>
          </w:p>
        </w:tc>
      </w:tr>
    </w:tbl>
    <w:p>
      <w:pPr>
        <w:spacing w:after="0"/>
      </w:pPr>
    </w:p>
    <w:p>
      <w:pPr>
        <w:pStyle w:val="Heading2"/>
      </w:pPr>
      <w:r>
        <w:t>0:40-0:65 | Step 3: Build the blueprint</w:t>
      </w:r>
    </w:p>
    <w:tbl>
      <w:tblPr>
        <w:tblW w:type="dxa" w:w="9880"/>
        <w:jc w:val="left"/>
        <w:tblLayout w:type="fixed"/>
        <w:tblLook w:firstColumn="1" w:firstRow="1" w:lastColumn="0" w:lastRow="0" w:noHBand="0" w:noVBand="1" w:val="04A0"/>
        <w:tblInd w:w="0" w:type="dxa"/>
      </w:tblPr>
      <w:tblGrid>
        <w:gridCol w:w="1500"/>
        <w:gridCol w:w="8380"/>
      </w:tblGrid>
      <w:tr>
        <w:tc>
          <w:tcPr>
            <w:tcW w:type="dxa" w:w="1500"/>
            <w:shd w:fill="063C33"/>
            <w:vAlign w:val="center"/>
            <w:tcMar>
              <w:top w:w="110" w:type="dxa"/>
              <w:start w:w="140" w:type="dxa"/>
              <w:bottom w:w="110" w:type="dxa"/>
              <w:end w:w="140" w:type="dxa"/>
            </w:tcMar>
          </w:tcPr>
          <w:p>
            <w:r>
              <w:rPr>
                <w:rFonts w:ascii="Arial Narrow" w:hAnsi="Arial Narrow"/>
                <w:b/>
                <w:color w:val="FFFFFF"/>
                <w:sz w:val="18"/>
              </w:rPr>
              <w:t>SAY</w:t>
            </w:r>
          </w:p>
        </w:tc>
        <w:tc>
          <w:tcPr>
            <w:tcW w:type="dxa" w:w="8380"/>
            <w:shd w:fill="F8FAF9"/>
            <w:tcMar>
              <w:top w:w="110" w:type="dxa"/>
              <w:start w:w="140" w:type="dxa"/>
              <w:bottom w:w="110" w:type="dxa"/>
              <w:end w:w="140" w:type="dxa"/>
            </w:tcMar>
          </w:tcPr>
          <w:p>
            <w:r>
              <w:rPr>
                <w:rFonts w:ascii="Arial" w:hAnsi="Arial"/>
                <w:color w:val="123A35"/>
                <w:sz w:val="20"/>
              </w:rPr>
              <w:t>We are not chasing a magic phrase. We are writing a visible contract for one job.</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SHOW</w:t>
            </w:r>
          </w:p>
        </w:tc>
        <w:tc>
          <w:tcPr>
            <w:tcW w:type="dxa" w:w="8380"/>
            <w:shd w:fill="F8FAF9"/>
            <w:tcMar>
              <w:top w:w="110" w:type="dxa"/>
              <w:start w:w="140" w:type="dxa"/>
              <w:bottom w:w="110" w:type="dxa"/>
              <w:end w:w="140" w:type="dxa"/>
            </w:tcMar>
          </w:tcPr>
          <w:p>
            <w:r>
              <w:rPr>
                <w:rFonts w:ascii="Arial" w:hAnsi="Arial"/>
                <w:color w:val="123A35"/>
                <w:sz w:val="20"/>
              </w:rPr>
              <w:t>Role, sources, output, quality, refusal, and human decision.</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PARTICIPANTS</w:t>
            </w:r>
          </w:p>
        </w:tc>
        <w:tc>
          <w:tcPr>
            <w:tcW w:type="dxa" w:w="8380"/>
            <w:shd w:fill="F8FAF9"/>
            <w:tcMar>
              <w:top w:w="110" w:type="dxa"/>
              <w:start w:w="140" w:type="dxa"/>
              <w:bottom w:w="110" w:type="dxa"/>
              <w:end w:w="140" w:type="dxa"/>
            </w:tcMar>
          </w:tcPr>
          <w:p>
            <w:r>
              <w:rPr>
                <w:rFonts w:ascii="Arial" w:hAnsi="Arial"/>
                <w:color w:val="123A35"/>
                <w:sz w:val="20"/>
              </w:rPr>
              <w:t>Complete all six fields and assemble the copy-ready instruction block.</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LISTEN FOR</w:t>
            </w:r>
          </w:p>
        </w:tc>
        <w:tc>
          <w:tcPr>
            <w:tcW w:type="dxa" w:w="8380"/>
            <w:shd w:fill="F8FAF9"/>
            <w:tcMar>
              <w:top w:w="110" w:type="dxa"/>
              <w:start w:w="140" w:type="dxa"/>
              <w:bottom w:w="110" w:type="dxa"/>
              <w:end w:w="140" w:type="dxa"/>
            </w:tcMar>
          </w:tcPr>
          <w:p>
            <w:r>
              <w:rPr>
                <w:rFonts w:ascii="Arial" w:hAnsi="Arial"/>
                <w:color w:val="123A35"/>
                <w:sz w:val="20"/>
              </w:rPr>
              <w:t>Vague roles, unbounded sources, hidden student-data needs, missing refusal behavior, and unclear teacher ownership.</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DECISION</w:t>
            </w:r>
          </w:p>
        </w:tc>
        <w:tc>
          <w:tcPr>
            <w:tcW w:type="dxa" w:w="8380"/>
            <w:shd w:fill="F8FAF9"/>
            <w:tcMar>
              <w:top w:w="110" w:type="dxa"/>
              <w:start w:w="140" w:type="dxa"/>
              <w:bottom w:w="110" w:type="dxa"/>
              <w:end w:w="140" w:type="dxa"/>
            </w:tcMar>
          </w:tcPr>
          <w:p>
            <w:r>
              <w:rPr>
                <w:rFonts w:ascii="Arial" w:hAnsi="Arial"/>
                <w:color w:val="123A35"/>
                <w:sz w:val="20"/>
              </w:rPr>
              <w:t>Each participant has one complete, copy-ready instruction block.</w:t>
            </w:r>
          </w:p>
        </w:tc>
      </w:tr>
    </w:tbl>
    <w:p>
      <w:pPr>
        <w:spacing w:after="0"/>
      </w:pPr>
    </w:p>
    <w:p>
      <w:pPr>
        <w:pStyle w:val="Heading2"/>
      </w:pPr>
      <w:r>
        <w:t>0:65-0:80 | Step 4: Practice safely</w:t>
      </w:r>
    </w:p>
    <w:tbl>
      <w:tblPr>
        <w:tblW w:type="dxa" w:w="9880"/>
        <w:jc w:val="left"/>
        <w:tblLayout w:type="fixed"/>
        <w:tblLook w:firstColumn="1" w:firstRow="1" w:lastColumn="0" w:lastRow="0" w:noHBand="0" w:noVBand="1" w:val="04A0"/>
        <w:tblInd w:w="0" w:type="dxa"/>
      </w:tblPr>
      <w:tblGrid>
        <w:gridCol w:w="1500"/>
        <w:gridCol w:w="8380"/>
      </w:tblGrid>
      <w:tr>
        <w:tc>
          <w:tcPr>
            <w:tcW w:type="dxa" w:w="1500"/>
            <w:shd w:fill="063C33"/>
            <w:vAlign w:val="center"/>
            <w:tcMar>
              <w:top w:w="110" w:type="dxa"/>
              <w:start w:w="140" w:type="dxa"/>
              <w:bottom w:w="110" w:type="dxa"/>
              <w:end w:w="140" w:type="dxa"/>
            </w:tcMar>
          </w:tcPr>
          <w:p>
            <w:r>
              <w:rPr>
                <w:rFonts w:ascii="Arial Narrow" w:hAnsi="Arial Narrow"/>
                <w:b/>
                <w:color w:val="FFFFFF"/>
                <w:sz w:val="18"/>
              </w:rPr>
              <w:t>SAY</w:t>
            </w:r>
          </w:p>
        </w:tc>
        <w:tc>
          <w:tcPr>
            <w:tcW w:type="dxa" w:w="8380"/>
            <w:shd w:fill="F8FAF9"/>
            <w:tcMar>
              <w:top w:w="110" w:type="dxa"/>
              <w:start w:w="140" w:type="dxa"/>
              <w:bottom w:w="110" w:type="dxa"/>
              <w:end w:w="140" w:type="dxa"/>
            </w:tcMar>
          </w:tcPr>
          <w:p>
            <w:r>
              <w:rPr>
                <w:rFonts w:ascii="Arial" w:hAnsi="Arial"/>
                <w:color w:val="123A35"/>
                <w:sz w:val="20"/>
              </w:rPr>
              <w:t>We test the structure before we trust the workflow. Today's content is fictional on purpose.</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SHOW</w:t>
            </w:r>
          </w:p>
        </w:tc>
        <w:tc>
          <w:tcPr>
            <w:tcW w:type="dxa" w:w="8380"/>
            <w:shd w:fill="F8FAF9"/>
            <w:tcMar>
              <w:top w:w="110" w:type="dxa"/>
              <w:start w:w="140" w:type="dxa"/>
              <w:bottom w:w="110" w:type="dxa"/>
              <w:end w:w="140" w:type="dxa"/>
            </w:tcMar>
          </w:tcPr>
          <w:p>
            <w:r>
              <w:rPr>
                <w:rFonts w:ascii="Arial" w:hAnsi="Arial"/>
                <w:color w:val="123A35"/>
                <w:sz w:val="20"/>
              </w:rPr>
              <w:t>The Harbor City Fictional Practice Pack and the planted unsupported bus-stop claim.</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PARTICIPANTS</w:t>
            </w:r>
          </w:p>
        </w:tc>
        <w:tc>
          <w:tcPr>
            <w:tcW w:type="dxa" w:w="8380"/>
            <w:shd w:fill="F8FAF9"/>
            <w:tcMar>
              <w:top w:w="110" w:type="dxa"/>
              <w:start w:w="140" w:type="dxa"/>
              <w:bottom w:w="110" w:type="dxa"/>
              <w:end w:w="140" w:type="dxa"/>
            </w:tcMar>
          </w:tcPr>
          <w:p>
            <w:r>
              <w:rPr>
                <w:rFonts w:ascii="Arial" w:hAnsi="Arial"/>
                <w:color w:val="123A35"/>
                <w:sz w:val="20"/>
              </w:rPr>
              <w:t>Run or role-play the test. Compare the output to the source. Find the invented claim. Review accuracy, bias, appropriateness, and alignment. Revise one instruction.</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LISTEN FOR</w:t>
            </w:r>
          </w:p>
        </w:tc>
        <w:tc>
          <w:tcPr>
            <w:tcW w:type="dxa" w:w="8380"/>
            <w:shd w:fill="F8FAF9"/>
            <w:tcMar>
              <w:top w:w="110" w:type="dxa"/>
              <w:start w:w="140" w:type="dxa"/>
              <w:bottom w:w="110" w:type="dxa"/>
              <w:end w:w="140" w:type="dxa"/>
            </w:tcMar>
          </w:tcPr>
          <w:p>
            <w:r>
              <w:rPr>
                <w:rFonts w:ascii="Arial" w:hAnsi="Arial"/>
                <w:color w:val="123A35"/>
                <w:sz w:val="20"/>
              </w:rPr>
              <w:t>Participants accepting polished output, overlooking missing facts, or fixing the output without strengthening the instruction.</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DECISION</w:t>
            </w:r>
          </w:p>
        </w:tc>
        <w:tc>
          <w:tcPr>
            <w:tcW w:type="dxa" w:w="8380"/>
            <w:shd w:fill="F8FAF9"/>
            <w:tcMar>
              <w:top w:w="110" w:type="dxa"/>
              <w:start w:w="140" w:type="dxa"/>
              <w:bottom w:w="110" w:type="dxa"/>
              <w:end w:w="140" w:type="dxa"/>
            </w:tcMar>
          </w:tcPr>
          <w:p>
            <w:r>
              <w:rPr>
                <w:rFonts w:ascii="Arial" w:hAnsi="Arial"/>
                <w:color w:val="123A35"/>
                <w:sz w:val="20"/>
              </w:rPr>
              <w:t>Everyone identifies one correction and makes one blueprint revision.</w:t>
            </w:r>
          </w:p>
        </w:tc>
      </w:tr>
    </w:tbl>
    <w:p>
      <w:pPr>
        <w:spacing w:after="0"/>
      </w:pPr>
    </w:p>
    <w:p>
      <w:pPr>
        <w:pStyle w:val="Heading2"/>
      </w:pPr>
      <w:r>
        <w:t>0:80-0:88 | Step 5: Measure a real result</w:t>
      </w:r>
    </w:p>
    <w:tbl>
      <w:tblPr>
        <w:tblW w:type="dxa" w:w="9880"/>
        <w:jc w:val="left"/>
        <w:tblLayout w:type="fixed"/>
        <w:tblLook w:firstColumn="1" w:firstRow="1" w:lastColumn="0" w:lastRow="0" w:noHBand="0" w:noVBand="1" w:val="04A0"/>
        <w:tblInd w:w="0" w:type="dxa"/>
      </w:tblPr>
      <w:tblGrid>
        <w:gridCol w:w="1500"/>
        <w:gridCol w:w="8380"/>
      </w:tblGrid>
      <w:tr>
        <w:tc>
          <w:tcPr>
            <w:tcW w:type="dxa" w:w="1500"/>
            <w:shd w:fill="063C33"/>
            <w:vAlign w:val="center"/>
            <w:tcMar>
              <w:top w:w="110" w:type="dxa"/>
              <w:start w:w="140" w:type="dxa"/>
              <w:bottom w:w="110" w:type="dxa"/>
              <w:end w:w="140" w:type="dxa"/>
            </w:tcMar>
          </w:tcPr>
          <w:p>
            <w:r>
              <w:rPr>
                <w:rFonts w:ascii="Arial Narrow" w:hAnsi="Arial Narrow"/>
                <w:b/>
                <w:color w:val="FFFFFF"/>
                <w:sz w:val="18"/>
              </w:rPr>
              <w:t>SAY</w:t>
            </w:r>
          </w:p>
        </w:tc>
        <w:tc>
          <w:tcPr>
            <w:tcW w:type="dxa" w:w="8380"/>
            <w:shd w:fill="F8FAF9"/>
            <w:tcMar>
              <w:top w:w="110" w:type="dxa"/>
              <w:start w:w="140" w:type="dxa"/>
              <w:bottom w:w="110" w:type="dxa"/>
              <w:end w:w="140" w:type="dxa"/>
            </w:tcMar>
          </w:tcPr>
          <w:p>
            <w:r>
              <w:rPr>
                <w:rFonts w:ascii="Arial" w:hAnsi="Arial"/>
                <w:color w:val="123A35"/>
                <w:sz w:val="20"/>
              </w:rPr>
              <w:t>Time saved is not generation time. It is the full task time after checking and correcting the output.</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SHOW</w:t>
            </w:r>
          </w:p>
        </w:tc>
        <w:tc>
          <w:tcPr>
            <w:tcW w:type="dxa" w:w="8380"/>
            <w:shd w:fill="F8FAF9"/>
            <w:tcMar>
              <w:top w:w="110" w:type="dxa"/>
              <w:start w:w="140" w:type="dxa"/>
              <w:bottom w:w="110" w:type="dxa"/>
              <w:end w:w="140" w:type="dxa"/>
            </w:tcMar>
          </w:tcPr>
          <w:p>
            <w:r>
              <w:rPr>
                <w:rFonts w:ascii="Arial" w:hAnsi="Arial"/>
                <w:color w:val="123A35"/>
                <w:sz w:val="20"/>
              </w:rPr>
              <w:t>Current minutes, assisted minutes, correction minutes, usefulness, safety slips, and keep/revise/stop.</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PARTICIPANTS</w:t>
            </w:r>
          </w:p>
        </w:tc>
        <w:tc>
          <w:tcPr>
            <w:tcW w:type="dxa" w:w="8380"/>
            <w:shd w:fill="F8FAF9"/>
            <w:tcMar>
              <w:top w:w="110" w:type="dxa"/>
              <w:start w:w="140" w:type="dxa"/>
              <w:bottom w:w="110" w:type="dxa"/>
              <w:end w:w="140" w:type="dxa"/>
            </w:tcMar>
          </w:tcPr>
          <w:p>
            <w:r>
              <w:rPr>
                <w:rFonts w:ascii="Arial" w:hAnsi="Arial"/>
                <w:color w:val="123A35"/>
                <w:sz w:val="20"/>
              </w:rPr>
              <w:t>Design a two-week test and record a decision rule.</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LISTEN FOR</w:t>
            </w:r>
          </w:p>
        </w:tc>
        <w:tc>
          <w:tcPr>
            <w:tcW w:type="dxa" w:w="8380"/>
            <w:shd w:fill="F8FAF9"/>
            <w:tcMar>
              <w:top w:w="110" w:type="dxa"/>
              <w:start w:w="140" w:type="dxa"/>
              <w:bottom w:w="110" w:type="dxa"/>
              <w:end w:w="140" w:type="dxa"/>
            </w:tcMar>
          </w:tcPr>
          <w:p>
            <w:r>
              <w:rPr>
                <w:rFonts w:ascii="Arial" w:hAnsi="Arial"/>
                <w:color w:val="123A35"/>
                <w:sz w:val="20"/>
              </w:rPr>
              <w:t>Guaranteed time-savings expectations or using frequency of AI use as success.</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DECISION</w:t>
            </w:r>
          </w:p>
        </w:tc>
        <w:tc>
          <w:tcPr>
            <w:tcW w:type="dxa" w:w="8380"/>
            <w:shd w:fill="F8FAF9"/>
            <w:tcMar>
              <w:top w:w="110" w:type="dxa"/>
              <w:start w:w="140" w:type="dxa"/>
              <w:bottom w:w="110" w:type="dxa"/>
              <w:end w:w="140" w:type="dxa"/>
            </w:tcMar>
          </w:tcPr>
          <w:p>
            <w:r>
              <w:rPr>
                <w:rFonts w:ascii="Arial" w:hAnsi="Arial"/>
                <w:color w:val="123A35"/>
                <w:sz w:val="20"/>
              </w:rPr>
              <w:t>Each participant can explain what evidence would make them keep, revise, or stop.</w:t>
            </w:r>
          </w:p>
        </w:tc>
      </w:tr>
    </w:tbl>
    <w:p>
      <w:pPr>
        <w:spacing w:after="0"/>
      </w:pPr>
    </w:p>
    <w:p>
      <w:pPr>
        <w:pStyle w:val="Heading2"/>
      </w:pPr>
      <w:r>
        <w:t>0:88-0:90 | Close</w:t>
      </w:r>
    </w:p>
    <w:tbl>
      <w:tblPr>
        <w:tblW w:type="dxa" w:w="9880"/>
        <w:jc w:val="left"/>
        <w:tblLayout w:type="fixed"/>
        <w:tblLook w:firstColumn="1" w:firstRow="1" w:lastColumn="0" w:lastRow="0" w:noHBand="0" w:noVBand="1" w:val="04A0"/>
        <w:tblInd w:w="0" w:type="dxa"/>
      </w:tblPr>
      <w:tblGrid>
        <w:gridCol w:w="1500"/>
        <w:gridCol w:w="8380"/>
      </w:tblGrid>
      <w:tr>
        <w:tc>
          <w:tcPr>
            <w:tcW w:type="dxa" w:w="1500"/>
            <w:shd w:fill="063C33"/>
            <w:vAlign w:val="center"/>
            <w:tcMar>
              <w:top w:w="110" w:type="dxa"/>
              <w:start w:w="140" w:type="dxa"/>
              <w:bottom w:w="110" w:type="dxa"/>
              <w:end w:w="140" w:type="dxa"/>
            </w:tcMar>
          </w:tcPr>
          <w:p>
            <w:r>
              <w:rPr>
                <w:rFonts w:ascii="Arial Narrow" w:hAnsi="Arial Narrow"/>
                <w:b/>
                <w:color w:val="FFFFFF"/>
                <w:sz w:val="18"/>
              </w:rPr>
              <w:t>SAY</w:t>
            </w:r>
          </w:p>
        </w:tc>
        <w:tc>
          <w:tcPr>
            <w:tcW w:type="dxa" w:w="8380"/>
            <w:shd w:fill="F8FAF9"/>
            <w:tcMar>
              <w:top w:w="110" w:type="dxa"/>
              <w:start w:w="140" w:type="dxa"/>
              <w:bottom w:w="110" w:type="dxa"/>
              <w:end w:w="140" w:type="dxa"/>
            </w:tcMar>
          </w:tcPr>
          <w:p>
            <w:r>
              <w:rPr>
                <w:rFonts w:ascii="Arial" w:hAnsi="Arial"/>
                <w:color w:val="123A35"/>
                <w:sz w:val="20"/>
              </w:rPr>
              <w:t>The assistant drafts. You decide. You now have one job, one safe source lane, one refusal line, one fictional test, one review routine, and one way to decide whether this is worth keeping.</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SHOW</w:t>
            </w:r>
          </w:p>
        </w:tc>
        <w:tc>
          <w:tcPr>
            <w:tcW w:type="dxa" w:w="8380"/>
            <w:shd w:fill="F8FAF9"/>
            <w:tcMar>
              <w:top w:w="110" w:type="dxa"/>
              <w:start w:w="140" w:type="dxa"/>
              <w:bottom w:w="110" w:type="dxa"/>
              <w:end w:w="140" w:type="dxa"/>
            </w:tcMar>
          </w:tcPr>
          <w:p>
            <w:r>
              <w:rPr>
                <w:rFonts w:ascii="Arial" w:hAnsi="Arial"/>
                <w:color w:val="123A35"/>
                <w:sz w:val="20"/>
              </w:rPr>
              <w:t>The completed workbook checklist and follow-up date.</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PARTICIPANTS</w:t>
            </w:r>
          </w:p>
        </w:tc>
        <w:tc>
          <w:tcPr>
            <w:tcW w:type="dxa" w:w="8380"/>
            <w:shd w:fill="F8FAF9"/>
            <w:tcMar>
              <w:top w:w="110" w:type="dxa"/>
              <w:start w:w="140" w:type="dxa"/>
              <w:bottom w:w="110" w:type="dxa"/>
              <w:end w:w="140" w:type="dxa"/>
            </w:tcMar>
          </w:tcPr>
          <w:p>
            <w:r>
              <w:rPr>
                <w:rFonts w:ascii="Arial" w:hAnsi="Arial"/>
                <w:color w:val="123A35"/>
                <w:sz w:val="20"/>
              </w:rPr>
              <w:t>Save the blueprint and choose the first date to test it.</w:t>
            </w:r>
          </w:p>
        </w:tc>
      </w:tr>
      <w:tr>
        <w:tc>
          <w:tcPr>
            <w:tcW w:type="dxa" w:w="1500"/>
            <w:shd w:fill="063C33"/>
            <w:vAlign w:val="center"/>
            <w:tcMar>
              <w:top w:w="110" w:type="dxa"/>
              <w:start w:w="140" w:type="dxa"/>
              <w:bottom w:w="110" w:type="dxa"/>
              <w:end w:w="140" w:type="dxa"/>
            </w:tcMar>
          </w:tcPr>
          <w:p>
            <w:r>
              <w:rPr>
                <w:rFonts w:ascii="Arial Narrow" w:hAnsi="Arial Narrow"/>
                <w:b/>
                <w:color w:val="FFFFFF"/>
                <w:sz w:val="18"/>
              </w:rPr>
              <w:t>DECISION</w:t>
            </w:r>
          </w:p>
        </w:tc>
        <w:tc>
          <w:tcPr>
            <w:tcW w:type="dxa" w:w="8380"/>
            <w:shd w:fill="F8FAF9"/>
            <w:tcMar>
              <w:top w:w="110" w:type="dxa"/>
              <w:start w:w="140" w:type="dxa"/>
              <w:bottom w:w="110" w:type="dxa"/>
              <w:end w:w="140" w:type="dxa"/>
            </w:tcMar>
          </w:tcPr>
          <w:p>
            <w:r>
              <w:rPr>
                <w:rFonts w:ascii="Arial" w:hAnsi="Arial"/>
                <w:color w:val="123A35"/>
                <w:sz w:val="20"/>
              </w:rPr>
              <w:t>No student data is collected. Only cohort-level follow-up commitments are recorded.</w:t>
            </w:r>
          </w:p>
        </w:tc>
      </w:tr>
    </w:tbl>
    <w:p>
      <w:pPr>
        <w:spacing w:after="0"/>
      </w:pPr>
    </w:p>
    <w:p>
      <w:pPr>
        <w:pStyle w:val="Heading2"/>
      </w:pPr>
      <w:r>
        <w:t>Copy-ready build language</w:t>
      </w:r>
    </w:p>
    <w:tbl>
      <w:tblPr>
        <w:tblW w:type="dxa" w:w="9880"/>
        <w:jc w:val="left"/>
        <w:tblLayout w:type="fixed"/>
        <w:tblLook w:firstColumn="1" w:firstRow="1" w:lastColumn="0" w:lastRow="0" w:noHBand="0" w:noVBand="1" w:val="04A0"/>
        <w:tblInd w:w="0" w:type="dxa"/>
      </w:tblPr>
      <w:tblGrid>
        <w:gridCol w:w="9880"/>
      </w:tblGrid>
      <w:tr>
        <w:trPr>
          <w:cantSplit/>
        </w:trPr>
        <w:tc>
          <w:tcPr>
            <w:tcW w:type="dxa" w:w="9880"/>
            <w:tcMar>
              <w:top w:w="110" w:type="dxa"/>
              <w:start w:w="140" w:type="dxa"/>
              <w:bottom w:w="110" w:type="dxa"/>
              <w:end w:w="140" w:type="dxa"/>
            </w:tcMar>
            <w:shd w:fill="E8F6F3"/>
          </w:tcPr>
          <w:p>
            <w:pPr>
              <w:spacing w:after="60"/>
            </w:pPr>
            <w:r>
              <w:rPr>
                <w:rFonts w:ascii="Arial Narrow" w:hAnsi="Arial Narrow"/>
                <w:b/>
                <w:color w:val="008C84"/>
                <w:sz w:val="19"/>
              </w:rPr>
              <w:t>FACILITATOR MODEL</w:t>
            </w:r>
          </w:p>
          <w:p>
            <w:pPr>
              <w:spacing w:after="0"/>
            </w:pPr>
            <w:r>
              <w:rPr>
                <w:rFonts w:ascii="Arial" w:hAnsi="Arial"/>
                <w:b w:val="0"/>
                <w:color w:val="123A35"/>
                <w:sz w:val="21"/>
              </w:rPr>
              <w:t>You are my [assistant name]. Your only job is to [one bounded task]. Use only [approved source types]. Return [exact structure]. A useful result must [quality criteria]. If the request contains [prohibited categories] or asks for [prohibited decisions], stop without repeating the information and ask for a safe replacement. You may draft or organize. I decide [human decision]. Remind me to review accuracy, bias, appropriateness, and alignment before use.</w:t>
            </w:r>
          </w:p>
        </w:tc>
      </w:tr>
    </w:tbl>
    <w:p>
      <w:pPr>
        <w:spacing w:after="0"/>
      </w:pPr>
    </w:p>
    <w:p>
      <w:pPr>
        <w:pStyle w:val="Heading2"/>
      </w:pPr>
      <w:r>
        <w:t>Facilitator working notes</w:t>
      </w:r>
    </w:p>
    <w:p>
      <w:r>
        <w:t>Keep this page open during the build. Record cohort patterns, not student information or identifiable participant examples.</w:t>
      </w:r>
    </w:p>
    <w:tbl>
      <w:tblPr>
        <w:tblW w:type="dxa" w:w="9880"/>
        <w:jc w:val="left"/>
        <w:tblLayout w:type="fixed"/>
        <w:tblLook w:firstColumn="1" w:firstRow="1" w:lastColumn="0" w:lastRow="0" w:noHBand="0" w:noVBand="1" w:val="04A0"/>
        <w:tblInd w:w="0" w:type="dxa"/>
      </w:tblPr>
      <w:tblGrid>
        <w:gridCol w:w="9880"/>
      </w:tblGrid>
      <w:tr>
        <w:trPr>
          <w:cantSplit/>
        </w:trPr>
        <w:tc>
          <w:tcPr>
            <w:tcW w:type="dxa" w:w="9880"/>
            <w:tcMar>
              <w:top w:w="110" w:type="dxa"/>
              <w:start w:w="140" w:type="dxa"/>
              <w:bottom w:w="110" w:type="dxa"/>
              <w:end w:w="140" w:type="dxa"/>
            </w:tcMar>
            <w:shd w:fill="F8FAF9"/>
          </w:tcPr>
          <w:p>
            <w:r>
              <w:rPr>
                <w:rFonts w:ascii="Arial Narrow" w:hAnsi="Arial Narrow"/>
                <w:b/>
                <w:color w:val="008C84"/>
                <w:sz w:val="18"/>
              </w:rPr>
              <w:t>LIKELY TIME-DRAIN TASKS</w:t>
            </w:r>
          </w:p>
          <w:p>
            <w:r>
              <w:br/>
            </w:r>
          </w:p>
        </w:tc>
      </w:tr>
    </w:tbl>
    <w:p>
      <w:pPr>
        <w:spacing w:after="0"/>
      </w:pPr>
    </w:p>
    <w:tbl>
      <w:tblPr>
        <w:tblW w:type="dxa" w:w="9880"/>
        <w:jc w:val="left"/>
        <w:tblLayout w:type="fixed"/>
        <w:tblLook w:firstColumn="1" w:firstRow="1" w:lastColumn="0" w:lastRow="0" w:noHBand="0" w:noVBand="1" w:val="04A0"/>
        <w:tblInd w:w="0" w:type="dxa"/>
      </w:tblPr>
      <w:tblGrid>
        <w:gridCol w:w="9880"/>
      </w:tblGrid>
      <w:tr>
        <w:trPr>
          <w:cantSplit/>
        </w:trPr>
        <w:tc>
          <w:tcPr>
            <w:tcW w:type="dxa" w:w="9880"/>
            <w:tcMar>
              <w:top w:w="110" w:type="dxa"/>
              <w:start w:w="140" w:type="dxa"/>
              <w:bottom w:w="110" w:type="dxa"/>
              <w:end w:w="140" w:type="dxa"/>
            </w:tcMar>
            <w:shd w:fill="F8FAF9"/>
          </w:tcPr>
          <w:p>
            <w:r>
              <w:rPr>
                <w:rFonts w:ascii="Arial Narrow" w:hAnsi="Arial Narrow"/>
                <w:b/>
                <w:color w:val="008C84"/>
                <w:sz w:val="18"/>
              </w:rPr>
              <w:t>APPROVED ENVIRONMENT AND LOCAL BOUNDARIES</w:t>
            </w:r>
          </w:p>
          <w:p>
            <w:r>
              <w:br/>
            </w:r>
          </w:p>
        </w:tc>
      </w:tr>
    </w:tbl>
    <w:p>
      <w:pPr>
        <w:spacing w:after="0"/>
      </w:pPr>
    </w:p>
    <w:tbl>
      <w:tblPr>
        <w:tblW w:type="dxa" w:w="9880"/>
        <w:jc w:val="left"/>
        <w:tblLayout w:type="fixed"/>
        <w:tblLook w:firstColumn="1" w:firstRow="1" w:lastColumn="0" w:lastRow="0" w:noHBand="0" w:noVBand="1" w:val="04A0"/>
        <w:tblInd w:w="0" w:type="dxa"/>
      </w:tblPr>
      <w:tblGrid>
        <w:gridCol w:w="9880"/>
      </w:tblGrid>
      <w:tr>
        <w:trPr>
          <w:cantSplit/>
        </w:trPr>
        <w:tc>
          <w:tcPr>
            <w:tcW w:type="dxa" w:w="9880"/>
            <w:tcMar>
              <w:top w:w="110" w:type="dxa"/>
              <w:start w:w="140" w:type="dxa"/>
              <w:bottom w:w="110" w:type="dxa"/>
              <w:end w:w="140" w:type="dxa"/>
            </w:tcMar>
            <w:shd w:fill="F8FAF9"/>
          </w:tcPr>
          <w:p>
            <w:r>
              <w:rPr>
                <w:rFonts w:ascii="Arial Narrow" w:hAnsi="Arial Narrow"/>
                <w:b/>
                <w:color w:val="008C84"/>
                <w:sz w:val="18"/>
              </w:rPr>
              <w:t>QUESTIONS TO ROUTE TO THE SCHOOL OWNER</w:t>
            </w:r>
          </w:p>
          <w:p>
            <w:r>
              <w:br/>
            </w:r>
          </w:p>
        </w:tc>
      </w:tr>
    </w:tbl>
    <w:p>
      <w:pPr>
        <w:spacing w:after="0"/>
      </w:pPr>
    </w:p>
    <w:tbl>
      <w:tblPr>
        <w:tblW w:type="dxa" w:w="9880"/>
        <w:jc w:val="left"/>
        <w:tblLayout w:type="fixed"/>
        <w:tblLook w:firstColumn="1" w:firstRow="1" w:lastColumn="0" w:lastRow="0" w:noHBand="0" w:noVBand="1" w:val="04A0"/>
        <w:tblInd w:w="0" w:type="dxa"/>
      </w:tblPr>
      <w:tblGrid>
        <w:gridCol w:w="9880"/>
      </w:tblGrid>
      <w:tr>
        <w:trPr>
          <w:cantSplit/>
        </w:trPr>
        <w:tc>
          <w:tcPr>
            <w:tcW w:type="dxa" w:w="9880"/>
            <w:tcMar>
              <w:top w:w="110" w:type="dxa"/>
              <w:start w:w="140" w:type="dxa"/>
              <w:bottom w:w="110" w:type="dxa"/>
              <w:end w:w="140" w:type="dxa"/>
            </w:tcMar>
            <w:shd w:fill="F8FAF9"/>
          </w:tcPr>
          <w:p>
            <w:r>
              <w:rPr>
                <w:rFonts w:ascii="Arial Narrow" w:hAnsi="Arial Narrow"/>
                <w:b/>
                <w:color w:val="008C84"/>
                <w:sz w:val="18"/>
              </w:rPr>
              <w:t>TWO-WEEK FOLLOW-UP COMMITMENTS</w:t>
            </w:r>
          </w:p>
          <w:p>
            <w:r>
              <w:br/>
            </w:r>
          </w:p>
        </w:tc>
      </w:tr>
    </w:tbl>
    <w:p>
      <w:pPr>
        <w:spacing w:after="0"/>
      </w:pPr>
    </w:p>
    <w:p>
      <w:r>
        <w:br w:type="page"/>
      </w:r>
    </w:p>
    <w:p>
      <w:pPr>
        <w:pStyle w:val="Heading1"/>
      </w:pPr>
      <w:r>
        <w:t>Part 4 | Interactive safety rehearsal</w:t>
      </w:r>
    </w:p>
    <w:p>
      <w:r>
        <w:t>This is a four-question guided rehearsal, not a certification. The interface shows one question at a time. The correct choice reveals the safe visual state and unlocks the next question. Wrong choices receive calm, explanatory feedback.</w:t>
      </w:r>
    </w:p>
    <w:p>
      <w:pPr>
        <w:pStyle w:val="Heading2"/>
      </w:pPr>
      <w:r>
        <w:t>1. Account check</w:t>
      </w:r>
    </w:p>
    <w:p>
      <w:pPr>
        <w:spacing w:after="100"/>
      </w:pPr>
      <w:r>
        <w:rPr>
          <w:rFonts w:ascii="Arial Narrow" w:hAnsi="Arial Narrow"/>
          <w:b/>
          <w:color w:val="008C84"/>
          <w:sz w:val="19"/>
        </w:rPr>
        <w:t xml:space="preserve">PROMPT  </w:t>
      </w:r>
      <w:r>
        <w:t>A teacher is ready to start. What comes first?</w:t>
      </w:r>
    </w:p>
    <w:p>
      <w:pPr>
        <w:spacing w:after="100"/>
      </w:pPr>
      <w:r>
        <w:rPr>
          <w:rFonts w:ascii="Arial Narrow" w:hAnsi="Arial Narrow"/>
          <w:b/>
          <w:color w:val="008C84"/>
          <w:sz w:val="19"/>
        </w:rPr>
        <w:t xml:space="preserve">SAFER MOVE  </w:t>
      </w:r>
      <w:r>
        <w:t>Confirm the exact school-approved tool and account.</w:t>
      </w:r>
    </w:p>
    <w:p>
      <w:pPr>
        <w:spacing w:after="100"/>
      </w:pPr>
      <w:r>
        <w:rPr>
          <w:rFonts w:ascii="Arial Narrow" w:hAnsi="Arial Narrow"/>
          <w:b/>
          <w:color w:val="008C84"/>
          <w:sz w:val="19"/>
        </w:rPr>
        <w:t xml:space="preserve">TEACHING POINT  </w:t>
      </w:r>
      <w:r>
        <w:t>A personal account is not a workaround when the approved environment is unknown.</w:t>
      </w:r>
    </w:p>
    <w:p>
      <w:pPr>
        <w:pStyle w:val="Heading2"/>
      </w:pPr>
      <w:r>
        <w:t>2. Identifier check</w:t>
      </w:r>
    </w:p>
    <w:p>
      <w:pPr>
        <w:spacing w:after="100"/>
      </w:pPr>
      <w:r>
        <w:rPr>
          <w:rFonts w:ascii="Arial Narrow" w:hAnsi="Arial Narrow"/>
          <w:b/>
          <w:color w:val="008C84"/>
          <w:sz w:val="19"/>
        </w:rPr>
        <w:t xml:space="preserve">PROMPT  </w:t>
      </w:r>
      <w:r>
        <w:t>The name is removed, but rare details remain. What now?</w:t>
      </w:r>
    </w:p>
    <w:p>
      <w:pPr>
        <w:spacing w:after="100"/>
      </w:pPr>
      <w:r>
        <w:rPr>
          <w:rFonts w:ascii="Arial Narrow" w:hAnsi="Arial Narrow"/>
          <w:b/>
          <w:color w:val="008C84"/>
          <w:sz w:val="19"/>
        </w:rPr>
        <w:t xml:space="preserve">SAFER MOVE  </w:t>
      </w:r>
      <w:r>
        <w:t>Stop and replace the material with fictional or student-neutral content.</w:t>
      </w:r>
    </w:p>
    <w:p>
      <w:pPr>
        <w:spacing w:after="100"/>
      </w:pPr>
      <w:r>
        <w:rPr>
          <w:rFonts w:ascii="Arial Narrow" w:hAnsi="Arial Narrow"/>
          <w:b/>
          <w:color w:val="008C84"/>
          <w:sz w:val="19"/>
        </w:rPr>
        <w:t xml:space="preserve">TEACHING POINT  </w:t>
      </w:r>
      <w:r>
        <w:t>Direct identifiers are not the entire risk. Combinations may still point to a person.</w:t>
      </w:r>
    </w:p>
    <w:p>
      <w:pPr>
        <w:pStyle w:val="Heading2"/>
      </w:pPr>
      <w:r>
        <w:t>3. Task check</w:t>
      </w:r>
    </w:p>
    <w:p>
      <w:pPr>
        <w:spacing w:after="100"/>
      </w:pPr>
      <w:r>
        <w:rPr>
          <w:rFonts w:ascii="Arial Narrow" w:hAnsi="Arial Narrow"/>
          <w:b/>
          <w:color w:val="008C84"/>
          <w:sz w:val="19"/>
        </w:rPr>
        <w:t xml:space="preserve">PROMPT  </w:t>
      </w:r>
      <w:r>
        <w:t>A teacher wants AI to grade identifiable student essays. What is the safer first build?</w:t>
      </w:r>
    </w:p>
    <w:p>
      <w:pPr>
        <w:spacing w:after="100"/>
      </w:pPr>
      <w:r>
        <w:rPr>
          <w:rFonts w:ascii="Arial Narrow" w:hAnsi="Arial Narrow"/>
          <w:b/>
          <w:color w:val="008C84"/>
          <w:sz w:val="19"/>
        </w:rPr>
        <w:t xml:space="preserve">SAFER MOVE  </w:t>
      </w:r>
      <w:r>
        <w:t>Build a feedback-framework assistant using criteria and fictional examples.</w:t>
      </w:r>
    </w:p>
    <w:p>
      <w:pPr>
        <w:spacing w:after="100"/>
      </w:pPr>
      <w:r>
        <w:rPr>
          <w:rFonts w:ascii="Arial Narrow" w:hAnsi="Arial Narrow"/>
          <w:b/>
          <w:color w:val="008C84"/>
          <w:sz w:val="19"/>
        </w:rPr>
        <w:t xml:space="preserve">TEACHING POINT  </w:t>
      </w:r>
      <w:r>
        <w:t>Begin with a lower-risk drafting aid, not a student-level decision.</w:t>
      </w:r>
    </w:p>
    <w:p>
      <w:pPr>
        <w:pStyle w:val="Heading2"/>
      </w:pPr>
      <w:r>
        <w:t>4. Output check</w:t>
      </w:r>
    </w:p>
    <w:p>
      <w:pPr>
        <w:spacing w:after="100"/>
      </w:pPr>
      <w:r>
        <w:rPr>
          <w:rFonts w:ascii="Arial Narrow" w:hAnsi="Arial Narrow"/>
          <w:b/>
          <w:color w:val="008C84"/>
          <w:sz w:val="19"/>
        </w:rPr>
        <w:t xml:space="preserve">PROMPT  </w:t>
      </w:r>
      <w:r>
        <w:t>The draft looks polished. What happens before use?</w:t>
      </w:r>
    </w:p>
    <w:p>
      <w:pPr>
        <w:spacing w:after="100"/>
      </w:pPr>
      <w:r>
        <w:rPr>
          <w:rFonts w:ascii="Arial Narrow" w:hAnsi="Arial Narrow"/>
          <w:b/>
          <w:color w:val="008C84"/>
          <w:sz w:val="19"/>
        </w:rPr>
        <w:t xml:space="preserve">SAFER MOVE  </w:t>
      </w:r>
      <w:r>
        <w:t>Review accuracy, bias, appropriateness, and alignment.</w:t>
      </w:r>
    </w:p>
    <w:p>
      <w:pPr>
        <w:spacing w:after="100"/>
      </w:pPr>
      <w:r>
        <w:rPr>
          <w:rFonts w:ascii="Arial Narrow" w:hAnsi="Arial Narrow"/>
          <w:b/>
          <w:color w:val="008C84"/>
          <w:sz w:val="19"/>
        </w:rPr>
        <w:t xml:space="preserve">TEACHING POINT  </w:t>
      </w:r>
      <w:r>
        <w:t>Professional formatting is not evidence that an output is correct.</w:t>
      </w:r>
    </w:p>
    <w:p>
      <w:r>
        <w:br w:type="page"/>
      </w:r>
    </w:p>
    <w:p>
      <w:pPr>
        <w:pStyle w:val="Heading1"/>
      </w:pPr>
      <w:r>
        <w:t>Part 5 | Two-week follow-up: 30 minutes</w:t>
      </w:r>
    </w:p>
    <w:p>
      <w:pPr>
        <w:pStyle w:val="Heading2"/>
      </w:pPr>
      <w:r>
        <w:t>0:00-0:05 | Reopen the decision</w:t>
      </w:r>
    </w:p>
    <w:tbl>
      <w:tblPr>
        <w:tblW w:type="dxa" w:w="9880"/>
        <w:jc w:val="left"/>
        <w:tblLayout w:type="fixed"/>
        <w:tblLook w:firstColumn="1" w:firstRow="1" w:lastColumn="0" w:lastRow="0" w:noHBand="0" w:noVBand="1" w:val="04A0"/>
        <w:tblInd w:w="0" w:type="dxa"/>
      </w:tblPr>
      <w:tblGrid>
        <w:gridCol w:w="1500"/>
        <w:gridCol w:w="8380"/>
      </w:tblGrid>
      <w:tr>
        <w:tc>
          <w:tcPr>
            <w:tcW w:type="dxa" w:w="1500"/>
            <w:shd w:fill="063C33"/>
            <w:vAlign w:val="center"/>
            <w:tcMar>
              <w:top w:w="110" w:type="dxa"/>
              <w:start w:w="140" w:type="dxa"/>
              <w:bottom w:w="110" w:type="dxa"/>
              <w:end w:w="140" w:type="dxa"/>
            </w:tcMar>
          </w:tcPr>
          <w:p>
            <w:r>
              <w:rPr>
                <w:rFonts w:ascii="Arial Narrow" w:hAnsi="Arial Narrow"/>
                <w:b/>
                <w:color w:val="FFFFFF"/>
                <w:sz w:val="18"/>
              </w:rPr>
              <w:t>SAY</w:t>
            </w:r>
          </w:p>
        </w:tc>
        <w:tc>
          <w:tcPr>
            <w:tcW w:type="dxa" w:w="8380"/>
            <w:shd w:fill="F8FAF9"/>
            <w:tcMar>
              <w:top w:w="110" w:type="dxa"/>
              <w:start w:w="140" w:type="dxa"/>
              <w:bottom w:w="110" w:type="dxa"/>
              <w:end w:w="140" w:type="dxa"/>
            </w:tcMar>
          </w:tcPr>
          <w:p>
            <w:r>
              <w:rPr>
                <w:rFonts w:ascii="Arial" w:hAnsi="Arial"/>
                <w:color w:val="123A35"/>
                <w:sz w:val="20"/>
              </w:rPr>
              <w:t>This is not a celebration of usage. We are deciding what was genuinely useful, what needs revision, and what should stop.</w:t>
            </w:r>
          </w:p>
        </w:tc>
      </w:tr>
    </w:tbl>
    <w:p>
      <w:pPr>
        <w:spacing w:after="0"/>
      </w:pPr>
    </w:p>
    <w:p>
      <w:pPr>
        <w:pStyle w:val="Heading2"/>
      </w:pPr>
      <w:r>
        <w:t>0:05-0:15 | Compare the full task time</w:t>
      </w:r>
    </w:p>
    <w:tbl>
      <w:tblPr>
        <w:tblW w:type="dxa" w:w="9880"/>
        <w:jc w:val="left"/>
        <w:tblLayout w:type="fixed"/>
        <w:tblLook w:firstColumn="1" w:firstRow="1" w:lastColumn="0" w:lastRow="0" w:noHBand="0" w:noVBand="1" w:val="04A0"/>
        <w:tblInd w:w="0" w:type="dxa"/>
      </w:tblPr>
      <w:tblGrid>
        <w:gridCol w:w="1500"/>
        <w:gridCol w:w="8380"/>
      </w:tblGrid>
      <w:tr>
        <w:tc>
          <w:tcPr>
            <w:tcW w:type="dxa" w:w="1500"/>
            <w:shd w:fill="063C33"/>
            <w:vAlign w:val="center"/>
            <w:tcMar>
              <w:top w:w="110" w:type="dxa"/>
              <w:start w:w="140" w:type="dxa"/>
              <w:bottom w:w="110" w:type="dxa"/>
              <w:end w:w="140" w:type="dxa"/>
            </w:tcMar>
          </w:tcPr>
          <w:p>
            <w:r>
              <w:rPr>
                <w:rFonts w:ascii="Arial Narrow" w:hAnsi="Arial Narrow"/>
                <w:b/>
                <w:color w:val="FFFFFF"/>
                <w:sz w:val="18"/>
              </w:rPr>
              <w:t>SAY</w:t>
            </w:r>
          </w:p>
        </w:tc>
        <w:tc>
          <w:tcPr>
            <w:tcW w:type="dxa" w:w="8380"/>
            <w:shd w:fill="F8FAF9"/>
            <w:tcMar>
              <w:top w:w="110" w:type="dxa"/>
              <w:start w:w="140" w:type="dxa"/>
              <w:bottom w:w="110" w:type="dxa"/>
              <w:end w:w="140" w:type="dxa"/>
            </w:tcMar>
          </w:tcPr>
          <w:p>
            <w:r>
              <w:rPr>
                <w:rFonts w:ascii="Arial" w:hAnsi="Arial"/>
                <w:color w:val="123A35"/>
                <w:sz w:val="20"/>
              </w:rPr>
              <w:t>Compare current minutes, assisted minutes, and correction minutes. Ask what teachers did with any time recovered.</w:t>
            </w:r>
          </w:p>
        </w:tc>
      </w:tr>
    </w:tbl>
    <w:p>
      <w:pPr>
        <w:spacing w:after="0"/>
      </w:pPr>
    </w:p>
    <w:p>
      <w:pPr>
        <w:pStyle w:val="Heading2"/>
      </w:pPr>
      <w:r>
        <w:t>0:15-0:23 | Diagnose patterns</w:t>
      </w:r>
    </w:p>
    <w:tbl>
      <w:tblPr>
        <w:tblW w:type="dxa" w:w="9880"/>
        <w:jc w:val="left"/>
        <w:tblLayout w:type="fixed"/>
        <w:tblLook w:firstColumn="1" w:firstRow="1" w:lastColumn="0" w:lastRow="0" w:noHBand="0" w:noVBand="1" w:val="04A0"/>
        <w:tblInd w:w="0" w:type="dxa"/>
      </w:tblPr>
      <w:tblGrid>
        <w:gridCol w:w="1500"/>
        <w:gridCol w:w="8380"/>
      </w:tblGrid>
      <w:tr>
        <w:tc>
          <w:tcPr>
            <w:tcW w:type="dxa" w:w="1500"/>
            <w:shd w:fill="063C33"/>
            <w:vAlign w:val="center"/>
            <w:tcMar>
              <w:top w:w="110" w:type="dxa"/>
              <w:start w:w="140" w:type="dxa"/>
              <w:bottom w:w="110" w:type="dxa"/>
              <w:end w:w="140" w:type="dxa"/>
            </w:tcMar>
          </w:tcPr>
          <w:p>
            <w:r>
              <w:rPr>
                <w:rFonts w:ascii="Arial Narrow" w:hAnsi="Arial Narrow"/>
                <w:b/>
                <w:color w:val="FFFFFF"/>
                <w:sz w:val="18"/>
              </w:rPr>
              <w:t>SAY</w:t>
            </w:r>
          </w:p>
        </w:tc>
        <w:tc>
          <w:tcPr>
            <w:tcW w:type="dxa" w:w="8380"/>
            <w:shd w:fill="F8FAF9"/>
            <w:tcMar>
              <w:top w:w="110" w:type="dxa"/>
              <w:start w:w="140" w:type="dxa"/>
              <w:bottom w:w="110" w:type="dxa"/>
              <w:end w:w="140" w:type="dxa"/>
            </w:tcMar>
          </w:tcPr>
          <w:p>
            <w:r>
              <w:rPr>
                <w:rFonts w:ascii="Arial" w:hAnsi="Arial"/>
                <w:color w:val="123A35"/>
                <w:sz w:val="20"/>
              </w:rPr>
              <w:t>Sort failures into unclear task, unsafe or vague sources, weak output format, invented/missing content, too much correction, unclear policy, or wrong task.</w:t>
            </w:r>
          </w:p>
        </w:tc>
      </w:tr>
    </w:tbl>
    <w:p>
      <w:pPr>
        <w:spacing w:after="0"/>
      </w:pPr>
    </w:p>
    <w:p>
      <w:pPr>
        <w:pStyle w:val="Heading2"/>
      </w:pPr>
      <w:r>
        <w:t>0:23-0:28 | Decide</w:t>
      </w:r>
    </w:p>
    <w:tbl>
      <w:tblPr>
        <w:tblW w:type="dxa" w:w="9880"/>
        <w:jc w:val="left"/>
        <w:tblLayout w:type="fixed"/>
        <w:tblLook w:firstColumn="1" w:firstRow="1" w:lastColumn="0" w:lastRow="0" w:noHBand="0" w:noVBand="1" w:val="04A0"/>
        <w:tblInd w:w="0" w:type="dxa"/>
      </w:tblPr>
      <w:tblGrid>
        <w:gridCol w:w="1500"/>
        <w:gridCol w:w="8380"/>
      </w:tblGrid>
      <w:tr>
        <w:tc>
          <w:tcPr>
            <w:tcW w:type="dxa" w:w="1500"/>
            <w:shd w:fill="063C33"/>
            <w:vAlign w:val="center"/>
            <w:tcMar>
              <w:top w:w="110" w:type="dxa"/>
              <w:start w:w="140" w:type="dxa"/>
              <w:bottom w:w="110" w:type="dxa"/>
              <w:end w:w="140" w:type="dxa"/>
            </w:tcMar>
          </w:tcPr>
          <w:p>
            <w:r>
              <w:rPr>
                <w:rFonts w:ascii="Arial Narrow" w:hAnsi="Arial Narrow"/>
                <w:b/>
                <w:color w:val="FFFFFF"/>
                <w:sz w:val="18"/>
              </w:rPr>
              <w:t>SAY</w:t>
            </w:r>
          </w:p>
        </w:tc>
        <w:tc>
          <w:tcPr>
            <w:tcW w:type="dxa" w:w="8380"/>
            <w:shd w:fill="F8FAF9"/>
            <w:tcMar>
              <w:top w:w="110" w:type="dxa"/>
              <w:start w:w="140" w:type="dxa"/>
              <w:bottom w:w="110" w:type="dxa"/>
              <w:end w:w="140" w:type="dxa"/>
            </w:tcMar>
          </w:tcPr>
          <w:p>
            <w:r>
              <w:rPr>
                <w:rFonts w:ascii="Arial" w:hAnsi="Arial"/>
                <w:color w:val="123A35"/>
                <w:sz w:val="20"/>
              </w:rPr>
              <w:t>Each teacher chooses keep, revise, or stop and records one evidence-based reason.</w:t>
            </w:r>
          </w:p>
        </w:tc>
      </w:tr>
    </w:tbl>
    <w:p>
      <w:pPr>
        <w:spacing w:after="0"/>
      </w:pPr>
    </w:p>
    <w:p>
      <w:pPr>
        <w:pStyle w:val="Heading2"/>
      </w:pPr>
      <w:r>
        <w:t>0:28-0:30 | Route unresolved needs</w:t>
      </w:r>
    </w:p>
    <w:tbl>
      <w:tblPr>
        <w:tblW w:type="dxa" w:w="9880"/>
        <w:jc w:val="left"/>
        <w:tblLayout w:type="fixed"/>
        <w:tblLook w:firstColumn="1" w:firstRow="1" w:lastColumn="0" w:lastRow="0" w:noHBand="0" w:noVBand="1" w:val="04A0"/>
        <w:tblInd w:w="0" w:type="dxa"/>
      </w:tblPr>
      <w:tblGrid>
        <w:gridCol w:w="1500"/>
        <w:gridCol w:w="8380"/>
      </w:tblGrid>
      <w:tr>
        <w:tc>
          <w:tcPr>
            <w:tcW w:type="dxa" w:w="1500"/>
            <w:shd w:fill="063C33"/>
            <w:vAlign w:val="center"/>
            <w:tcMar>
              <w:top w:w="110" w:type="dxa"/>
              <w:start w:w="140" w:type="dxa"/>
              <w:bottom w:w="110" w:type="dxa"/>
              <w:end w:w="140" w:type="dxa"/>
            </w:tcMar>
          </w:tcPr>
          <w:p>
            <w:r>
              <w:rPr>
                <w:rFonts w:ascii="Arial Narrow" w:hAnsi="Arial Narrow"/>
                <w:b/>
                <w:color w:val="FFFFFF"/>
                <w:sz w:val="18"/>
              </w:rPr>
              <w:t>SAY</w:t>
            </w:r>
          </w:p>
        </w:tc>
        <w:tc>
          <w:tcPr>
            <w:tcW w:type="dxa" w:w="8380"/>
            <w:shd w:fill="F8FAF9"/>
            <w:tcMar>
              <w:top w:w="110" w:type="dxa"/>
              <w:start w:w="140" w:type="dxa"/>
              <w:bottom w:w="110" w:type="dxa"/>
              <w:end w:w="140" w:type="dxa"/>
            </w:tcMar>
          </w:tcPr>
          <w:p>
            <w:r>
              <w:rPr>
                <w:rFonts w:ascii="Arial" w:hAnsi="Arial"/>
                <w:color w:val="123A35"/>
                <w:sz w:val="20"/>
              </w:rPr>
              <w:t>Leadership records cohort-level support and policy questions. Results are not used for teacher evaluation.</w:t>
            </w:r>
          </w:p>
        </w:tc>
      </w:tr>
    </w:tbl>
    <w:p>
      <w:pPr>
        <w:spacing w:after="0"/>
      </w:pPr>
    </w:p>
    <w:p>
      <w:r>
        <w:br w:type="page"/>
      </w:r>
    </w:p>
    <w:p>
      <w:pPr>
        <w:pStyle w:val="Heading1"/>
      </w:pPr>
      <w:r>
        <w:t>Part 6 | Nuanced questions and facilitator answers</w:t>
      </w:r>
    </w:p>
    <w:tbl>
      <w:tblPr>
        <w:tblW w:type="dxa" w:w="9880"/>
        <w:jc w:val="left"/>
        <w:tblLayout w:type="fixed"/>
        <w:tblLook w:firstColumn="1" w:firstRow="1" w:lastColumn="0" w:lastRow="0" w:noHBand="0" w:noVBand="1" w:val="04A0"/>
        <w:tblInd w:w="0" w:type="dxa"/>
      </w:tblPr>
      <w:tblGrid>
        <w:gridCol w:w="9880"/>
      </w:tblGrid>
      <w:tr>
        <w:trPr>
          <w:cantSplit/>
        </w:trPr>
        <w:tc>
          <w:tcPr>
            <w:tcW w:type="dxa" w:w="9880"/>
            <w:tcMar>
              <w:top w:w="110" w:type="dxa"/>
              <w:start w:w="140" w:type="dxa"/>
              <w:bottom w:w="110" w:type="dxa"/>
              <w:end w:w="140" w:type="dxa"/>
            </w:tcMar>
            <w:shd w:fill="FFF4D8"/>
          </w:tcPr>
          <w:p>
            <w:pPr>
              <w:spacing w:after="60"/>
            </w:pPr>
            <w:r>
              <w:rPr>
                <w:rFonts w:ascii="Arial Narrow" w:hAnsi="Arial Narrow"/>
                <w:b/>
                <w:color w:val="F2B633"/>
                <w:sz w:val="19"/>
              </w:rPr>
              <w:t>THE RULE</w:t>
            </w:r>
          </w:p>
          <w:p>
            <w:pPr>
              <w:spacing w:after="0"/>
            </w:pPr>
            <w:r>
              <w:rPr>
                <w:rFonts w:ascii="Arial" w:hAnsi="Arial"/>
                <w:b/>
                <w:color w:val="123A35"/>
                <w:sz w:val="21"/>
              </w:rPr>
              <w:t>A teacher may have a legitimate educational reason to review student information. That does not automatically authorize disclosure of the information to an AI vendor or use in a particular AI feature. Tool, account, data, purpose, access, contract, and local policy must all align.</w:t>
            </w:r>
          </w:p>
        </w:tc>
      </w:tr>
    </w:tbl>
    <w:p>
      <w:pPr>
        <w:spacing w:after="0"/>
      </w:pPr>
    </w:p>
    <w:p>
      <w:pPr>
        <w:pStyle w:val="Heading2"/>
      </w:pPr>
      <w:r>
        <w:t>Frequently asked questions</w:t>
      </w:r>
    </w:p>
    <w:p>
      <w:pPr>
        <w:pStyle w:val="Heading3"/>
      </w:pPr>
      <w:r>
        <w:t>Can a teacher use AI to review specific student work?</w:t>
      </w:r>
    </w:p>
    <w:p>
      <w:r>
        <w:rPr>
          <w:rFonts w:ascii="Arial" w:hAnsi="Arial"/>
          <w:b/>
          <w:color w:val="063C33"/>
        </w:rPr>
        <w:t xml:space="preserve">Short answer: </w:t>
      </w:r>
      <w:r>
        <w:t>Not in this beginner lab. In practice, it may be possible only inside a school-approved workflow with a legitimate educational purpose and explicit permission for that tool, account, data type, and task.</w:t>
      </w:r>
    </w:p>
    <w:p>
      <w:r>
        <w:t>Student work can be an education record and can contain direct or indirect identifiers. Removing the student's name may not remove identity. The teacher's authority to review the work does not automatically extend to disclosing it to a third-party AI system.</w:t>
      </w:r>
    </w:p>
    <w:p>
      <w:pPr>
        <w:spacing w:after="100"/>
      </w:pPr>
      <w:r>
        <w:rPr>
          <w:rFonts w:ascii="Arial Narrow" w:hAnsi="Arial Narrow"/>
          <w:b/>
          <w:color w:val="008C84"/>
          <w:sz w:val="19"/>
        </w:rPr>
        <w:t xml:space="preserve">ROUTE  </w:t>
      </w:r>
      <w:r>
        <w:t>Current lab: use fictional or student-neutral examples. Advanced workflow: require the school's instructional, privacy/data, and technology owners to approve the product and procedure before any live data is used.</w:t>
      </w:r>
    </w:p>
    <w:p>
      <w:pPr>
        <w:spacing w:before="0" w:after="100"/>
      </w:pPr>
      <w:r>
        <w:rPr>
          <w:rFonts w:ascii="Arial" w:hAnsi="Arial"/>
          <w:b/>
          <w:color w:val="4F6B67"/>
          <w:sz w:val="17"/>
        </w:rPr>
        <w:t xml:space="preserve">Official guidance: </w:t>
      </w:r>
      <w:hyperlink r:id="rId11">
        <w:r>
          <w:rPr>
            <w:rFonts w:ascii="Arial" w:hAnsi="Arial"/>
            <w:color w:val="008C84"/>
            <w:u w:val="single"/>
          </w:rPr>
          <w:t>FERPA PII definition</w:t>
        </w:r>
      </w:hyperlink>
      <w:r>
        <w:t xml:space="preserve"> | </w:t>
      </w:r>
      <w:hyperlink r:id="rId12">
        <w:r>
          <w:rPr>
            <w:rFonts w:ascii="Arial" w:hAnsi="Arial"/>
            <w:color w:val="008C84"/>
            <w:u w:val="single"/>
          </w:rPr>
          <w:t>NYCPS ERMA overview</w:t>
        </w:r>
      </w:hyperlink>
    </w:p>
    <w:p>
      <w:pPr>
        <w:pStyle w:val="Heading3"/>
      </w:pPr>
      <w:r>
        <w:t>What if the teacher replaces the student ID with a random key?</w:t>
      </w:r>
    </w:p>
    <w:p>
      <w:r>
        <w:rPr>
          <w:rFonts w:ascii="Arial" w:hAnsi="Arial"/>
          <w:b/>
          <w:color w:val="063C33"/>
        </w:rPr>
        <w:t xml:space="preserve">Short answer: </w:t>
      </w:r>
      <w:r>
        <w:t>A random key can be one part of a formal de-identification design, but replacing one identifier does not automatically make the dataset de-identified or approved for AI use.</w:t>
      </w:r>
    </w:p>
    <w:p>
      <w:r>
        <w:t>If the teacher or school retains a key that reconnects the row to a student, or if the remaining details can identify a student, the data may still be linkable. FERPA permits coded de-identified student-level data for education research under specific conditions, including that the recipient cannot identify the student and does not receive the code-generation method. That rule is not a do-it-yourself permission for teachers to upload coded rows to an AI product.</w:t>
      </w:r>
    </w:p>
    <w:p>
      <w:pPr>
        <w:spacing w:after="100"/>
      </w:pPr>
      <w:r>
        <w:rPr>
          <w:rFonts w:ascii="Arial Narrow" w:hAnsi="Arial Narrow"/>
          <w:b/>
          <w:color w:val="008C84"/>
          <w:sz w:val="19"/>
        </w:rPr>
        <w:t xml:space="preserve">ROUTE  </w:t>
      </w:r>
      <w:r>
        <w:t>Treat keyed row-level data as protected until the school data/privacy owner makes and documents the de-identification and tool-use determination.</w:t>
      </w:r>
    </w:p>
    <w:p>
      <w:pPr>
        <w:spacing w:before="0" w:after="100"/>
      </w:pPr>
      <w:r>
        <w:rPr>
          <w:rFonts w:ascii="Arial" w:hAnsi="Arial"/>
          <w:b/>
          <w:color w:val="4F6B67"/>
          <w:sz w:val="17"/>
        </w:rPr>
        <w:t xml:space="preserve">Official guidance: </w:t>
      </w:r>
      <w:hyperlink r:id="rId13">
        <w:r>
          <w:rPr>
            <w:rFonts w:ascii="Arial" w:hAnsi="Arial"/>
            <w:color w:val="008C84"/>
            <w:u w:val="single"/>
          </w:rPr>
          <w:t>FERPA de-identification FAQ</w:t>
        </w:r>
      </w:hyperlink>
      <w:r>
        <w:t xml:space="preserve"> | </w:t>
      </w:r>
      <w:hyperlink r:id="rId14">
        <w:r>
          <w:rPr>
            <w:rFonts w:ascii="Arial" w:hAnsi="Arial"/>
            <w:color w:val="008C84"/>
            <w:u w:val="single"/>
          </w:rPr>
          <w:t>FERPA regulations</w:t>
        </w:r>
      </w:hyperlink>
    </w:p>
    <w:p>
      <w:pPr>
        <w:pStyle w:val="Heading3"/>
      </w:pPr>
      <w:r>
        <w:t>Does removing names make student data anonymous?</w:t>
      </w:r>
    </w:p>
    <w:p>
      <w:r>
        <w:rPr>
          <w:rFonts w:ascii="Arial" w:hAnsi="Arial"/>
          <w:b/>
          <w:color w:val="063C33"/>
        </w:rPr>
        <w:t xml:space="preserve">Short answer: </w:t>
      </w:r>
      <w:r>
        <w:t>No.</w:t>
      </w:r>
    </w:p>
    <w:p>
      <w:r>
        <w:t>FERPA PII includes direct identifiers, indirect identifiers, and combinations of information that allow a reasonable person in the school community to identify a student with reasonable certainty. A rare program, date, grade, language, disability category, event, or small group can make a record recognizable.</w:t>
      </w:r>
    </w:p>
    <w:p>
      <w:pPr>
        <w:spacing w:after="100"/>
      </w:pPr>
      <w:r>
        <w:rPr>
          <w:rFonts w:ascii="Arial Narrow" w:hAnsi="Arial Narrow"/>
          <w:b/>
          <w:color w:val="008C84"/>
          <w:sz w:val="19"/>
        </w:rPr>
        <w:t xml:space="preserve">ROUTE  </w:t>
      </w:r>
      <w:r>
        <w:t>Do not teach name removal as the safety standard. Use fictional material in this lab and formal de-identification processes in advanced work.</w:t>
      </w:r>
    </w:p>
    <w:p>
      <w:pPr>
        <w:spacing w:before="0" w:after="100"/>
      </w:pPr>
      <w:r>
        <w:rPr>
          <w:rFonts w:ascii="Arial" w:hAnsi="Arial"/>
          <w:b/>
          <w:color w:val="4F6B67"/>
          <w:sz w:val="17"/>
        </w:rPr>
        <w:t xml:space="preserve">Official guidance: </w:t>
      </w:r>
      <w:hyperlink r:id="rId11">
        <w:r>
          <w:rPr>
            <w:rFonts w:ascii="Arial" w:hAnsi="Arial"/>
            <w:color w:val="008C84"/>
            <w:u w:val="single"/>
          </w:rPr>
          <w:t>FERPA PII definition</w:t>
        </w:r>
      </w:hyperlink>
      <w:r>
        <w:t xml:space="preserve"> | </w:t>
      </w:r>
      <w:hyperlink r:id="rId13">
        <w:r>
          <w:rPr>
            <w:rFonts w:ascii="Arial" w:hAnsi="Arial"/>
            <w:color w:val="008C84"/>
            <w:u w:val="single"/>
          </w:rPr>
          <w:t>FERPA de-identification FAQ</w:t>
        </w:r>
      </w:hyperlink>
    </w:p>
    <w:p>
      <w:pPr>
        <w:pStyle w:val="Heading3"/>
      </w:pPr>
      <w:r>
        <w:t>Can AI help a teacher identify class-wide learning trends?</w:t>
      </w:r>
    </w:p>
    <w:p>
      <w:r>
        <w:rPr>
          <w:rFonts w:ascii="Arial" w:hAnsi="Arial"/>
          <w:b/>
          <w:color w:val="063C33"/>
        </w:rPr>
        <w:t xml:space="preserve">Short answer: </w:t>
      </w:r>
      <w:r>
        <w:t>Potentially, but the approved workflow matters more than the analytical goal.</w:t>
      </w:r>
    </w:p>
    <w:p>
      <w:r>
        <w:t>NYCPS guidance recognizes that AI may surface patterns in data while educators interpret findings. If the input includes student data, NYCPS also requires an ERMA-approved tool. A safer starting point is teacher-created aggregate counts that do not expose small groups or identifiable rows. Even aggregate data can reveal students when the class or subgroup is small.</w:t>
      </w:r>
    </w:p>
    <w:p>
      <w:pPr>
        <w:spacing w:after="100"/>
      </w:pPr>
      <w:r>
        <w:rPr>
          <w:rFonts w:ascii="Arial Narrow" w:hAnsi="Arial Narrow"/>
          <w:b/>
          <w:color w:val="008C84"/>
          <w:sz w:val="19"/>
        </w:rPr>
        <w:t xml:space="preserve">ROUTE  </w:t>
      </w:r>
      <w:r>
        <w:t>Possible advanced PD. Require the approved analytics/AI environment, minimum necessary data, aggregation rules, small-group safeguards, and educator interpretation.</w:t>
      </w:r>
    </w:p>
    <w:p>
      <w:pPr>
        <w:spacing w:before="0" w:after="100"/>
      </w:pPr>
      <w:r>
        <w:rPr>
          <w:rFonts w:ascii="Arial" w:hAnsi="Arial"/>
          <w:b/>
          <w:color w:val="4F6B67"/>
          <w:sz w:val="17"/>
        </w:rPr>
        <w:t xml:space="preserve">Official guidance: </w:t>
      </w:r>
      <w:hyperlink r:id="rId15">
        <w:r>
          <w:rPr>
            <w:rFonts w:ascii="Arial" w:hAnsi="Arial"/>
            <w:color w:val="008C84"/>
            <w:u w:val="single"/>
          </w:rPr>
          <w:t>NYCPS AI guidance</w:t>
        </w:r>
      </w:hyperlink>
      <w:r>
        <w:t xml:space="preserve"> | </w:t>
      </w:r>
      <w:hyperlink r:id="rId12">
        <w:r>
          <w:rPr>
            <w:rFonts w:ascii="Arial" w:hAnsi="Arial"/>
            <w:color w:val="008C84"/>
            <w:u w:val="single"/>
          </w:rPr>
          <w:t>NYCPS ERMA overview</w:t>
        </w:r>
      </w:hyperlink>
    </w:p>
    <w:p>
      <w:pPr>
        <w:pStyle w:val="Heading3"/>
      </w:pPr>
      <w:r>
        <w:t>Can a teacher track different groups of students with AI?</w:t>
      </w:r>
    </w:p>
    <w:p>
      <w:r>
        <w:rPr>
          <w:rFonts w:ascii="Arial" w:hAnsi="Arial"/>
          <w:b/>
          <w:color w:val="063C33"/>
        </w:rPr>
        <w:t xml:space="preserve">Short answer: </w:t>
      </w:r>
      <w:r>
        <w:t>This is not automatically prohibited, but it is a higher-risk workflow and should not be introduced as an individual teacher experiment.</w:t>
      </w:r>
    </w:p>
    <w:p>
      <w:r>
        <w:t>Groups may reveal protected or sensitive characteristics, and small groups can make students identifiable. The purpose also matters: noticing an instructional pattern is different from ranking, labeling, predicting, placing, disciplining, or allocating opportunities. Bias and proxy variables can distort the result.</w:t>
      </w:r>
    </w:p>
    <w:p>
      <w:pPr>
        <w:spacing w:after="100"/>
      </w:pPr>
      <w:r>
        <w:rPr>
          <w:rFonts w:ascii="Arial Narrow" w:hAnsi="Arial Narrow"/>
          <w:b/>
          <w:color w:val="008C84"/>
          <w:sz w:val="19"/>
        </w:rPr>
        <w:t xml:space="preserve">ROUTE  </w:t>
      </w:r>
      <w:r>
        <w:t>Advanced PD only after leadership defines permissible purposes, approved data fields, minimum group size or suppression rules, decision limits, review, documentation, and escalation.</w:t>
      </w:r>
    </w:p>
    <w:p>
      <w:pPr>
        <w:spacing w:before="0" w:after="100"/>
      </w:pPr>
      <w:r>
        <w:rPr>
          <w:rFonts w:ascii="Arial" w:hAnsi="Arial"/>
          <w:b/>
          <w:color w:val="4F6B67"/>
          <w:sz w:val="17"/>
        </w:rPr>
        <w:t xml:space="preserve">Official guidance: </w:t>
      </w:r>
      <w:hyperlink r:id="rId11">
        <w:r>
          <w:rPr>
            <w:rFonts w:ascii="Arial" w:hAnsi="Arial"/>
            <w:color w:val="008C84"/>
            <w:u w:val="single"/>
          </w:rPr>
          <w:t>FERPA PII definition</w:t>
        </w:r>
      </w:hyperlink>
      <w:r>
        <w:t xml:space="preserve"> | </w:t>
      </w:r>
      <w:hyperlink r:id="rId15">
        <w:r>
          <w:rPr>
            <w:rFonts w:ascii="Arial" w:hAnsi="Arial"/>
            <w:color w:val="008C84"/>
            <w:u w:val="single"/>
          </w:rPr>
          <w:t>NYCPS AI guidance</w:t>
        </w:r>
      </w:hyperlink>
    </w:p>
    <w:p>
      <w:pPr>
        <w:pStyle w:val="Heading3"/>
      </w:pPr>
      <w:r>
        <w:t>Can AI recommend which students belong in intervention groups?</w:t>
      </w:r>
    </w:p>
    <w:p>
      <w:r>
        <w:rPr>
          <w:rFonts w:ascii="Arial" w:hAnsi="Arial"/>
          <w:b/>
          <w:color w:val="063C33"/>
        </w:rPr>
        <w:t xml:space="preserve">Short answer: </w:t>
      </w:r>
      <w:r>
        <w:t>Not as an autonomous recommendation in Andrew's current training.</w:t>
      </w:r>
    </w:p>
    <w:p>
      <w:r>
        <w:t>Grouping can affect student opportunity and may rely on incomplete or biased signals. AI can help an educator organize an approved, non-identifiable set of instructional patterns, but the teacher and required school team must make grouping, intervention, placement, disability, and service decisions under local procedures.</w:t>
      </w:r>
    </w:p>
    <w:p>
      <w:pPr>
        <w:spacing w:after="100"/>
      </w:pPr>
      <w:r>
        <w:rPr>
          <w:rFonts w:ascii="Arial Narrow" w:hAnsi="Arial Narrow"/>
          <w:b/>
          <w:color w:val="008C84"/>
          <w:sz w:val="19"/>
        </w:rPr>
        <w:t xml:space="preserve">ROUTE  </w:t>
      </w:r>
      <w:r>
        <w:t>Keep the current lab focused on reusable materials. Route student grouping or intervention decisions to leadership and qualified specialists for a separate governed workflow.</w:t>
      </w:r>
    </w:p>
    <w:p>
      <w:pPr>
        <w:spacing w:before="0" w:after="100"/>
      </w:pPr>
      <w:r>
        <w:rPr>
          <w:rFonts w:ascii="Arial" w:hAnsi="Arial"/>
          <w:b/>
          <w:color w:val="4F6B67"/>
          <w:sz w:val="17"/>
        </w:rPr>
        <w:t xml:space="preserve">Official guidance: </w:t>
      </w:r>
      <w:hyperlink r:id="rId15">
        <w:r>
          <w:rPr>
            <w:rFonts w:ascii="Arial" w:hAnsi="Arial"/>
            <w:color w:val="008C84"/>
            <w:u w:val="single"/>
          </w:rPr>
          <w:t>NYCPS AI guidance</w:t>
        </w:r>
      </w:hyperlink>
    </w:p>
    <w:p>
      <w:pPr>
        <w:pStyle w:val="Heading3"/>
      </w:pPr>
      <w:r>
        <w:t>Can a teacher use AI for assessment item analysis?</w:t>
      </w:r>
    </w:p>
    <w:p>
      <w:r>
        <w:rPr>
          <w:rFonts w:ascii="Arial" w:hAnsi="Arial"/>
          <w:b/>
          <w:color w:val="063C33"/>
        </w:rPr>
        <w:t xml:space="preserve">Short answer: </w:t>
      </w:r>
      <w:r>
        <w:t>Yes as a concept, but live student response data requires a separately approved workflow.</w:t>
      </w:r>
    </w:p>
    <w:p>
      <w:r>
        <w:t>A low-risk version analyzes the assessment questions, answer key, and fictional or aggregate response counts. A higher-risk version uploads row-level responses or student work. The latter requires approval for the tool, data, purpose, and access.</w:t>
      </w:r>
    </w:p>
    <w:p>
      <w:pPr>
        <w:spacing w:after="100"/>
      </w:pPr>
      <w:r>
        <w:rPr>
          <w:rFonts w:ascii="Arial Narrow" w:hAnsi="Arial Narrow"/>
          <w:b/>
          <w:color w:val="008C84"/>
          <w:sz w:val="19"/>
        </w:rPr>
        <w:t xml:space="preserve">ROUTE  </w:t>
      </w:r>
      <w:r>
        <w:t>Current lab: use fictional counts or teacher-created non-identifiable summaries. Advanced PD: use only the school's authorized data source and approved environment.</w:t>
      </w:r>
    </w:p>
    <w:p>
      <w:pPr>
        <w:spacing w:before="0" w:after="100"/>
      </w:pPr>
      <w:r>
        <w:rPr>
          <w:rFonts w:ascii="Arial" w:hAnsi="Arial"/>
          <w:b/>
          <w:color w:val="4F6B67"/>
          <w:sz w:val="17"/>
        </w:rPr>
        <w:t xml:space="preserve">Official guidance: </w:t>
      </w:r>
      <w:hyperlink r:id="rId13">
        <w:r>
          <w:rPr>
            <w:rFonts w:ascii="Arial" w:hAnsi="Arial"/>
            <w:color w:val="008C84"/>
            <w:u w:val="single"/>
          </w:rPr>
          <w:t>FERPA de-identification FAQ</w:t>
        </w:r>
      </w:hyperlink>
      <w:r>
        <w:t xml:space="preserve"> | </w:t>
      </w:r>
      <w:hyperlink r:id="rId15">
        <w:r>
          <w:rPr>
            <w:rFonts w:ascii="Arial" w:hAnsi="Arial"/>
            <w:color w:val="008C84"/>
            <w:u w:val="single"/>
          </w:rPr>
          <w:t>NYCPS AI guidance</w:t>
        </w:r>
      </w:hyperlink>
    </w:p>
    <w:p>
      <w:pPr>
        <w:pStyle w:val="Heading3"/>
      </w:pPr>
      <w:r>
        <w:t>Can AI compare a student's performance over time?</w:t>
      </w:r>
    </w:p>
    <w:p>
      <w:r>
        <w:rPr>
          <w:rFonts w:ascii="Arial" w:hAnsi="Arial"/>
          <w:b/>
          <w:color w:val="063C33"/>
        </w:rPr>
        <w:t xml:space="preserve">Short answer: </w:t>
      </w:r>
      <w:r>
        <w:t>That is student-level longitudinal analysis and sits outside this beginner unit.</w:t>
      </w:r>
    </w:p>
    <w:p>
      <w:r>
        <w:t>A key code does not eliminate linkability when multiple records are intentionally connected over time. Longitudinal detail can increase re-identification risk and may influence high-impact decisions.</w:t>
      </w:r>
    </w:p>
    <w:p>
      <w:pPr>
        <w:spacing w:after="100"/>
      </w:pPr>
      <w:r>
        <w:rPr>
          <w:rFonts w:ascii="Arial Narrow" w:hAnsi="Arial Narrow"/>
          <w:b/>
          <w:color w:val="008C84"/>
          <w:sz w:val="19"/>
        </w:rPr>
        <w:t xml:space="preserve">ROUTE  </w:t>
      </w:r>
      <w:r>
        <w:t>Require a school-owned analytics process, an approved product, legitimate educational interest, minimum necessary access, and professional review. Do not build this in a personal AI account.</w:t>
      </w:r>
    </w:p>
    <w:p>
      <w:pPr>
        <w:spacing w:before="0" w:after="100"/>
      </w:pPr>
      <w:r>
        <w:rPr>
          <w:rFonts w:ascii="Arial" w:hAnsi="Arial"/>
          <w:b/>
          <w:color w:val="4F6B67"/>
          <w:sz w:val="17"/>
        </w:rPr>
        <w:t xml:space="preserve">Official guidance: </w:t>
      </w:r>
      <w:hyperlink r:id="rId14">
        <w:r>
          <w:rPr>
            <w:rFonts w:ascii="Arial" w:hAnsi="Arial"/>
            <w:color w:val="008C84"/>
            <w:u w:val="single"/>
          </w:rPr>
          <w:t>FERPA regulations</w:t>
        </w:r>
      </w:hyperlink>
      <w:r>
        <w:t xml:space="preserve"> | </w:t>
      </w:r>
      <w:hyperlink r:id="rId12">
        <w:r>
          <w:rPr>
            <w:rFonts w:ascii="Arial" w:hAnsi="Arial"/>
            <w:color w:val="008C84"/>
            <w:u w:val="single"/>
          </w:rPr>
          <w:t>NYCPS ERMA overview</w:t>
        </w:r>
      </w:hyperlink>
    </w:p>
    <w:p>
      <w:pPr>
        <w:pStyle w:val="Heading3"/>
      </w:pPr>
      <w:r>
        <w:t>Can a teacher upload a spreadsheet exported from the SIS or LMS?</w:t>
      </w:r>
    </w:p>
    <w:p>
      <w:r>
        <w:rPr>
          <w:rFonts w:ascii="Arial" w:hAnsi="Arial"/>
          <w:b/>
          <w:color w:val="063C33"/>
        </w:rPr>
        <w:t xml:space="preserve">Short answer: </w:t>
      </w:r>
      <w:r>
        <w:t>Not unless the school has explicitly approved that product, account, feature, data type, and purpose.</w:t>
      </w:r>
    </w:p>
    <w:p>
      <w:r>
        <w:t>Exports often contain identifiers or combinations of grades, attendance, behavior, demographics, accommodations, or dates. Deleting a name column is not enough. Copying data from an approved system into another product is a new disclosure and processing context.</w:t>
      </w:r>
    </w:p>
    <w:p>
      <w:pPr>
        <w:spacing w:after="100"/>
      </w:pPr>
      <w:r>
        <w:rPr>
          <w:rFonts w:ascii="Arial Narrow" w:hAnsi="Arial Narrow"/>
          <w:b/>
          <w:color w:val="008C84"/>
          <w:sz w:val="19"/>
        </w:rPr>
        <w:t xml:space="preserve">ROUTE  </w:t>
      </w:r>
      <w:r>
        <w:t>Use school-provided reporting tools first. Route any proposed AI upload through the responsible data/privacy and technology owners.</w:t>
      </w:r>
    </w:p>
    <w:p>
      <w:pPr>
        <w:spacing w:before="0" w:after="100"/>
      </w:pPr>
      <w:r>
        <w:rPr>
          <w:rFonts w:ascii="Arial" w:hAnsi="Arial"/>
          <w:b/>
          <w:color w:val="4F6B67"/>
          <w:sz w:val="17"/>
        </w:rPr>
        <w:t xml:space="preserve">Official guidance: </w:t>
      </w:r>
      <w:hyperlink r:id="rId11">
        <w:r>
          <w:rPr>
            <w:rFonts w:ascii="Arial" w:hAnsi="Arial"/>
            <w:color w:val="008C84"/>
            <w:u w:val="single"/>
          </w:rPr>
          <w:t>FERPA PII definition</w:t>
        </w:r>
      </w:hyperlink>
      <w:r>
        <w:t xml:space="preserve"> | </w:t>
      </w:r>
      <w:hyperlink r:id="rId16">
        <w:r>
          <w:rPr>
            <w:rFonts w:ascii="Arial" w:hAnsi="Arial"/>
            <w:color w:val="008C84"/>
            <w:u w:val="single"/>
          </w:rPr>
          <w:t>NYSED Education Law 2-d</w:t>
        </w:r>
      </w:hyperlink>
      <w:r>
        <w:t xml:space="preserve"> | </w:t>
      </w:r>
      <w:hyperlink r:id="rId12">
        <w:r>
          <w:rPr>
            <w:rFonts w:ascii="Arial" w:hAnsi="Arial"/>
            <w:color w:val="008C84"/>
            <w:u w:val="single"/>
          </w:rPr>
          <w:t>NYCPS ERMA overview</w:t>
        </w:r>
      </w:hyperlink>
    </w:p>
    <w:p>
      <w:pPr>
        <w:pStyle w:val="Heading3"/>
      </w:pPr>
      <w:r>
        <w:t>If a product says it is FERPA compliant, can a teacher use it?</w:t>
      </w:r>
    </w:p>
    <w:p>
      <w:r>
        <w:rPr>
          <w:rFonts w:ascii="Arial" w:hAnsi="Arial"/>
          <w:b/>
          <w:color w:val="063C33"/>
        </w:rPr>
        <w:t xml:space="preserve">Short answer: </w:t>
      </w:r>
      <w:r>
        <w:t>No vendor claim replaces school approval.</w:t>
      </w:r>
    </w:p>
    <w:p>
      <w:r>
        <w:t>FERPA does not operate as a universal product certification. The school's relationship with the vendor, direct control, legitimate educational purpose, contract terms, data handling, account configuration, and state/local rules matter. In NYCPS, student or staff data may not be entered into tools that have not completed the applicable ERMA review.</w:t>
      </w:r>
    </w:p>
    <w:p>
      <w:pPr>
        <w:spacing w:after="100"/>
      </w:pPr>
      <w:r>
        <w:rPr>
          <w:rFonts w:ascii="Arial Narrow" w:hAnsi="Arial Narrow"/>
          <w:b/>
          <w:color w:val="008C84"/>
          <w:sz w:val="19"/>
        </w:rPr>
        <w:t xml:space="preserve">ROUTE  </w:t>
      </w:r>
      <w:r>
        <w:t>Ask leadership to confirm the exact approved product, account, and permitted use in the official portal or local process.</w:t>
      </w:r>
    </w:p>
    <w:p>
      <w:pPr>
        <w:spacing w:before="0" w:after="100"/>
      </w:pPr>
      <w:r>
        <w:rPr>
          <w:rFonts w:ascii="Arial" w:hAnsi="Arial"/>
          <w:b/>
          <w:color w:val="4F6B67"/>
          <w:sz w:val="17"/>
        </w:rPr>
        <w:t xml:space="preserve">Official guidance: </w:t>
      </w:r>
      <w:hyperlink r:id="rId16">
        <w:r>
          <w:rPr>
            <w:rFonts w:ascii="Arial" w:hAnsi="Arial"/>
            <w:color w:val="008C84"/>
            <w:u w:val="single"/>
          </w:rPr>
          <w:t>NYSED Education Law 2-d</w:t>
        </w:r>
      </w:hyperlink>
      <w:r>
        <w:t xml:space="preserve"> | </w:t>
      </w:r>
      <w:hyperlink r:id="rId12">
        <w:r>
          <w:rPr>
            <w:rFonts w:ascii="Arial" w:hAnsi="Arial"/>
            <w:color w:val="008C84"/>
            <w:u w:val="single"/>
          </w:rPr>
          <w:t>NYCPS ERMA overview</w:t>
        </w:r>
      </w:hyperlink>
    </w:p>
    <w:p>
      <w:pPr>
        <w:pStyle w:val="Heading3"/>
      </w:pPr>
      <w:r>
        <w:t>Does an approved tool make every AI use acceptable?</w:t>
      </w:r>
    </w:p>
    <w:p>
      <w:r>
        <w:rPr>
          <w:rFonts w:ascii="Arial" w:hAnsi="Arial"/>
          <w:b/>
          <w:color w:val="063C33"/>
        </w:rPr>
        <w:t xml:space="preserve">Short answer: </w:t>
      </w:r>
      <w:r>
        <w:t>No.</w:t>
      </w:r>
    </w:p>
    <w:p>
      <w:r>
        <w:t>Approval may cover privacy and security while leaving instructional appropriateness, bias, age restrictions, task design, professional responsibility, or prohibited decisions unresolved. NYCPS explicitly states that ERMA approval is not the only requirement for use.</w:t>
      </w:r>
    </w:p>
    <w:p>
      <w:pPr>
        <w:spacing w:after="100"/>
      </w:pPr>
      <w:r>
        <w:rPr>
          <w:rFonts w:ascii="Arial Narrow" w:hAnsi="Arial Narrow"/>
          <w:b/>
          <w:color w:val="008C84"/>
          <w:sz w:val="19"/>
        </w:rPr>
        <w:t xml:space="preserve">ROUTE  </w:t>
      </w:r>
      <w:r>
        <w:t>Check both the environment and the task. Keep the human decision line visible.</w:t>
      </w:r>
    </w:p>
    <w:p>
      <w:pPr>
        <w:spacing w:before="0" w:after="100"/>
      </w:pPr>
      <w:r>
        <w:rPr>
          <w:rFonts w:ascii="Arial" w:hAnsi="Arial"/>
          <w:b/>
          <w:color w:val="4F6B67"/>
          <w:sz w:val="17"/>
        </w:rPr>
        <w:t xml:space="preserve">Official guidance: </w:t>
      </w:r>
      <w:hyperlink r:id="rId12">
        <w:r>
          <w:rPr>
            <w:rFonts w:ascii="Arial" w:hAnsi="Arial"/>
            <w:color w:val="008C84"/>
            <w:u w:val="single"/>
          </w:rPr>
          <w:t>NYCPS ERMA overview</w:t>
        </w:r>
      </w:hyperlink>
      <w:r>
        <w:t xml:space="preserve"> | </w:t>
      </w:r>
      <w:hyperlink r:id="rId15">
        <w:r>
          <w:rPr>
            <w:rFonts w:ascii="Arial" w:hAnsi="Arial"/>
            <w:color w:val="008C84"/>
            <w:u w:val="single"/>
          </w:rPr>
          <w:t>NYCPS AI guidance</w:t>
        </w:r>
      </w:hyperlink>
    </w:p>
    <w:p>
      <w:pPr>
        <w:pStyle w:val="Heading3"/>
      </w:pPr>
      <w:r>
        <w:t>Can the teacher ask AI to de-identify the data first?</w:t>
      </w:r>
    </w:p>
    <w:p>
      <w:r>
        <w:rPr>
          <w:rFonts w:ascii="Arial" w:hAnsi="Arial"/>
          <w:b/>
          <w:color w:val="063C33"/>
        </w:rPr>
        <w:t xml:space="preserve">Short answer: </w:t>
      </w:r>
      <w:r>
        <w:t>Not by uploading identifiable data into an unapproved tool.</w:t>
      </w:r>
    </w:p>
    <w:p>
      <w:r>
        <w:t>The disclosure has already occurred when the data is entered. Effective de-identification also requires attention to direct identifiers, indirect identifiers, combinations, other available data, and repeated releases.</w:t>
      </w:r>
    </w:p>
    <w:p>
      <w:pPr>
        <w:spacing w:after="100"/>
      </w:pPr>
      <w:r>
        <w:rPr>
          <w:rFonts w:ascii="Arial Narrow" w:hAnsi="Arial Narrow"/>
          <w:b/>
          <w:color w:val="008C84"/>
          <w:sz w:val="19"/>
        </w:rPr>
        <w:t xml:space="preserve">ROUTE  </w:t>
      </w:r>
      <w:r>
        <w:t>De-identify inside the school-approved process before the AI system receives anything, with the school's responsible data/privacy owner defining the method.</w:t>
      </w:r>
    </w:p>
    <w:p>
      <w:pPr>
        <w:spacing w:before="0" w:after="100"/>
      </w:pPr>
      <w:r>
        <w:rPr>
          <w:rFonts w:ascii="Arial" w:hAnsi="Arial"/>
          <w:b/>
          <w:color w:val="4F6B67"/>
          <w:sz w:val="17"/>
        </w:rPr>
        <w:t xml:space="preserve">Official guidance: </w:t>
      </w:r>
      <w:hyperlink r:id="rId13">
        <w:r>
          <w:rPr>
            <w:rFonts w:ascii="Arial" w:hAnsi="Arial"/>
            <w:color w:val="008C84"/>
            <w:u w:val="single"/>
          </w:rPr>
          <w:t>FERPA de-identification FAQ</w:t>
        </w:r>
      </w:hyperlink>
      <w:r>
        <w:t xml:space="preserve"> | </w:t>
      </w:r>
      <w:hyperlink r:id="rId14">
        <w:r>
          <w:rPr>
            <w:rFonts w:ascii="Arial" w:hAnsi="Arial"/>
            <w:color w:val="008C84"/>
            <w:u w:val="single"/>
          </w:rPr>
          <w:t>FERPA regulations</w:t>
        </w:r>
      </w:hyperlink>
    </w:p>
    <w:p>
      <w:pPr>
        <w:pStyle w:val="Heading3"/>
      </w:pPr>
      <w:r>
        <w:t>Can AI grade, score, or rank students if the teacher reviews the result?</w:t>
      </w:r>
    </w:p>
    <w:p>
      <w:r>
        <w:rPr>
          <w:rFonts w:ascii="Arial" w:hAnsi="Arial"/>
          <w:b/>
          <w:color w:val="063C33"/>
        </w:rPr>
        <w:t xml:space="preserve">Short answer: </w:t>
      </w:r>
      <w:r>
        <w:t>Not in this lab and not merely because a human signs off afterward.</w:t>
      </w:r>
    </w:p>
    <w:p>
      <w:r>
        <w:t>Human review is necessary but does not automatically make a high-impact workflow appropriate. Grading, ranking, placement, discipline, accommodations, and service decisions need stronger validation, governance, transparency, and local authority.</w:t>
      </w:r>
    </w:p>
    <w:p>
      <w:pPr>
        <w:spacing w:after="100"/>
      </w:pPr>
      <w:r>
        <w:rPr>
          <w:rFonts w:ascii="Arial Narrow" w:hAnsi="Arial Narrow"/>
          <w:b/>
          <w:color w:val="008C84"/>
          <w:sz w:val="19"/>
        </w:rPr>
        <w:t xml:space="preserve">ROUTE  </w:t>
      </w:r>
      <w:r>
        <w:t>Use AI to help build a rubric structure or neutral feedback stems from approved criteria. The teacher reads the work, evaluates it, responds, and assigns every score.</w:t>
      </w:r>
    </w:p>
    <w:p>
      <w:pPr>
        <w:spacing w:before="0" w:after="100"/>
      </w:pPr>
      <w:r>
        <w:rPr>
          <w:rFonts w:ascii="Arial" w:hAnsi="Arial"/>
          <w:b/>
          <w:color w:val="4F6B67"/>
          <w:sz w:val="17"/>
        </w:rPr>
        <w:t xml:space="preserve">Official guidance: </w:t>
      </w:r>
      <w:hyperlink r:id="rId15">
        <w:r>
          <w:rPr>
            <w:rFonts w:ascii="Arial" w:hAnsi="Arial"/>
            <w:color w:val="008C84"/>
            <w:u w:val="single"/>
          </w:rPr>
          <w:t>NYCPS AI guidance</w:t>
        </w:r>
      </w:hyperlink>
    </w:p>
    <w:p>
      <w:pPr>
        <w:pStyle w:val="Heading3"/>
      </w:pPr>
      <w:r>
        <w:t>Can a teacher use AI to draft feedback for a particular student?</w:t>
      </w:r>
    </w:p>
    <w:p>
      <w:r>
        <w:rPr>
          <w:rFonts w:ascii="Arial" w:hAnsi="Arial"/>
          <w:b/>
          <w:color w:val="063C33"/>
        </w:rPr>
        <w:t xml:space="preserve">Short answer: </w:t>
      </w:r>
      <w:r>
        <w:t>Not with identifiable student work in this beginner lab.</w:t>
      </w:r>
    </w:p>
    <w:p>
      <w:r>
        <w:t>A safer first build creates feedback frameworks, question stems, exemplars, or comment banks from approved criteria and fictional examples. Applying those materials to a student's work remains the teacher's job unless the school has approved a specific student-data workflow.</w:t>
      </w:r>
    </w:p>
    <w:p>
      <w:pPr>
        <w:spacing w:after="100"/>
      </w:pPr>
      <w:r>
        <w:rPr>
          <w:rFonts w:ascii="Arial Narrow" w:hAnsi="Arial Narrow"/>
          <w:b/>
          <w:color w:val="008C84"/>
          <w:sz w:val="19"/>
        </w:rPr>
        <w:t xml:space="preserve">ROUTE  </w:t>
      </w:r>
      <w:r>
        <w:t>Current lab: framework building only. Advanced workflow: requires approval for identifiable work and the exact feedback tool.</w:t>
      </w:r>
    </w:p>
    <w:p>
      <w:pPr>
        <w:spacing w:before="0" w:after="100"/>
      </w:pPr>
      <w:r>
        <w:rPr>
          <w:rFonts w:ascii="Arial" w:hAnsi="Arial"/>
          <w:b/>
          <w:color w:val="4F6B67"/>
          <w:sz w:val="17"/>
        </w:rPr>
        <w:t xml:space="preserve">Official guidance: </w:t>
      </w:r>
      <w:hyperlink r:id="rId11">
        <w:r>
          <w:rPr>
            <w:rFonts w:ascii="Arial" w:hAnsi="Arial"/>
            <w:color w:val="008C84"/>
            <w:u w:val="single"/>
          </w:rPr>
          <w:t>FERPA PII definition</w:t>
        </w:r>
      </w:hyperlink>
      <w:r>
        <w:t xml:space="preserve"> | </w:t>
      </w:r>
      <w:hyperlink r:id="rId12">
        <w:r>
          <w:rPr>
            <w:rFonts w:ascii="Arial" w:hAnsi="Arial"/>
            <w:color w:val="008C84"/>
            <w:u w:val="single"/>
          </w:rPr>
          <w:t>NYCPS ERMA overview</w:t>
        </w:r>
      </w:hyperlink>
    </w:p>
    <w:p>
      <w:pPr>
        <w:pStyle w:val="Heading3"/>
      </w:pPr>
      <w:r>
        <w:t>Can a teacher enter IEP, 504, disability, counseling, health, behavior, or discipline information?</w:t>
      </w:r>
    </w:p>
    <w:p>
      <w:r>
        <w:rPr>
          <w:rFonts w:ascii="Arial" w:hAnsi="Arial"/>
          <w:b/>
          <w:color w:val="063C33"/>
        </w:rPr>
        <w:t xml:space="preserve">Short answer: </w:t>
      </w:r>
      <w:r>
        <w:t>No in this lab. These requests must be routed to qualified staff and the school's approved systems and procedures.</w:t>
      </w:r>
    </w:p>
    <w:p>
      <w:r>
        <w:t>These categories are highly sensitive, may be protected by multiple laws and local rules, and may influence regulated decisions. Andrew's training does not determine accommodations, eligibility, services, placement, discipline, counseling, or safety responses.</w:t>
      </w:r>
    </w:p>
    <w:p>
      <w:pPr>
        <w:spacing w:after="100"/>
      </w:pPr>
      <w:r>
        <w:rPr>
          <w:rFonts w:ascii="Arial Narrow" w:hAnsi="Arial Narrow"/>
          <w:b/>
          <w:color w:val="008C84"/>
          <w:sz w:val="19"/>
        </w:rPr>
        <w:t xml:space="preserve">ROUTE  </w:t>
      </w:r>
      <w:r>
        <w:t>Stop, do not repeat the information, use fictional material for training, and refer the real question to the responsible specialist and privacy/data owner.</w:t>
      </w:r>
    </w:p>
    <w:p>
      <w:pPr>
        <w:spacing w:before="0" w:after="100"/>
      </w:pPr>
      <w:r>
        <w:rPr>
          <w:rFonts w:ascii="Arial" w:hAnsi="Arial"/>
          <w:b/>
          <w:color w:val="4F6B67"/>
          <w:sz w:val="17"/>
        </w:rPr>
        <w:t xml:space="preserve">Official guidance: </w:t>
      </w:r>
      <w:hyperlink r:id="rId11">
        <w:r>
          <w:rPr>
            <w:rFonts w:ascii="Arial" w:hAnsi="Arial"/>
            <w:color w:val="008C84"/>
            <w:u w:val="single"/>
          </w:rPr>
          <w:t>FERPA PII definition</w:t>
        </w:r>
      </w:hyperlink>
      <w:r>
        <w:t xml:space="preserve"> | </w:t>
      </w:r>
      <w:hyperlink r:id="rId16">
        <w:r>
          <w:rPr>
            <w:rFonts w:ascii="Arial" w:hAnsi="Arial"/>
            <w:color w:val="008C84"/>
            <w:u w:val="single"/>
          </w:rPr>
          <w:t>NYSED Education Law 2-d</w:t>
        </w:r>
      </w:hyperlink>
    </w:p>
    <w:p>
      <w:pPr>
        <w:pStyle w:val="Heading3"/>
      </w:pPr>
      <w:r>
        <w:t>Can AI draft family communications?</w:t>
      </w:r>
    </w:p>
    <w:p>
      <w:r>
        <w:rPr>
          <w:rFonts w:ascii="Arial" w:hAnsi="Arial"/>
          <w:b/>
          <w:color w:val="063C33"/>
        </w:rPr>
        <w:t xml:space="preserve">Short answer: </w:t>
      </w:r>
      <w:r>
        <w:t>It can help with neutral, general communications in an approved environment, with human review. Student-specific communications require additional permission and care.</w:t>
      </w:r>
    </w:p>
    <w:p>
      <w:r>
        <w:t>General dates, logistics, and educator-written information can fit a lower-risk lane. Student-specific performance, behavior, disability, family, or other protected information changes the risk. Translation adds another accuracy and impact review need.</w:t>
      </w:r>
    </w:p>
    <w:p>
      <w:pPr>
        <w:spacing w:after="100"/>
      </w:pPr>
      <w:r>
        <w:rPr>
          <w:rFonts w:ascii="Arial Narrow" w:hAnsi="Arial Narrow"/>
          <w:b/>
          <w:color w:val="008C84"/>
          <w:sz w:val="19"/>
        </w:rPr>
        <w:t xml:space="preserve">ROUTE  </w:t>
      </w:r>
      <w:r>
        <w:t>Current lab: neutral logistics and general updates only. Student-specific communication belongs in a separately approved workflow.</w:t>
      </w:r>
    </w:p>
    <w:p>
      <w:pPr>
        <w:spacing w:before="0" w:after="100"/>
      </w:pPr>
      <w:r>
        <w:rPr>
          <w:rFonts w:ascii="Arial" w:hAnsi="Arial"/>
          <w:b/>
          <w:color w:val="4F6B67"/>
          <w:sz w:val="17"/>
        </w:rPr>
        <w:t xml:space="preserve">Official guidance: </w:t>
      </w:r>
      <w:hyperlink r:id="rId15">
        <w:r>
          <w:rPr>
            <w:rFonts w:ascii="Arial" w:hAnsi="Arial"/>
            <w:color w:val="008C84"/>
            <w:u w:val="single"/>
          </w:rPr>
          <w:t>NYCPS AI guidance</w:t>
        </w:r>
      </w:hyperlink>
    </w:p>
    <w:p>
      <w:pPr>
        <w:pStyle w:val="Heading3"/>
      </w:pPr>
      <w:r>
        <w:t>Can a teacher use a personal ChatGPT, Gemini, Copilot, or MagicSchool account?</w:t>
      </w:r>
    </w:p>
    <w:p>
      <w:r>
        <w:rPr>
          <w:rFonts w:ascii="Arial" w:hAnsi="Arial"/>
          <w:b/>
          <w:color w:val="063C33"/>
        </w:rPr>
        <w:t xml:space="preserve">Short answer: </w:t>
      </w:r>
      <w:r>
        <w:t>Only if that exact product and account type are approved for that use by the school. Never assume the consumer version is equivalent to the managed school version.</w:t>
      </w:r>
    </w:p>
    <w:p>
      <w:r>
        <w:t>Account ownership, tenant controls, data handling, retention, sharing, model training, connectors, and administrative visibility can differ across versions.</w:t>
      </w:r>
    </w:p>
    <w:p>
      <w:pPr>
        <w:spacing w:after="100"/>
      </w:pPr>
      <w:r>
        <w:rPr>
          <w:rFonts w:ascii="Arial Narrow" w:hAnsi="Arial Narrow"/>
          <w:b/>
          <w:color w:val="008C84"/>
          <w:sz w:val="19"/>
        </w:rPr>
        <w:t xml:space="preserve">ROUTE  </w:t>
      </w:r>
      <w:r>
        <w:t>If the approved environment is unknown, stay in paper/blueprint mode and ask leadership. Do not create a workaround account during the lab.</w:t>
      </w:r>
    </w:p>
    <w:p>
      <w:pPr>
        <w:spacing w:before="0" w:after="100"/>
      </w:pPr>
      <w:r>
        <w:rPr>
          <w:rFonts w:ascii="Arial" w:hAnsi="Arial"/>
          <w:b/>
          <w:color w:val="4F6B67"/>
          <w:sz w:val="17"/>
        </w:rPr>
        <w:t xml:space="preserve">Official guidance: </w:t>
      </w:r>
      <w:hyperlink r:id="rId12">
        <w:r>
          <w:rPr>
            <w:rFonts w:ascii="Arial" w:hAnsi="Arial"/>
            <w:color w:val="008C84"/>
            <w:u w:val="single"/>
          </w:rPr>
          <w:t>NYCPS ERMA overview</w:t>
        </w:r>
      </w:hyperlink>
    </w:p>
    <w:p>
      <w:pPr>
        <w:pStyle w:val="Heading3"/>
      </w:pPr>
      <w:r>
        <w:t>What if a teacher only wants to analyze their own class?</w:t>
      </w:r>
    </w:p>
    <w:p>
      <w:r>
        <w:rPr>
          <w:rFonts w:ascii="Arial" w:hAnsi="Arial"/>
          <w:b/>
          <w:color w:val="063C33"/>
        </w:rPr>
        <w:t xml:space="preserve">Short answer: </w:t>
      </w:r>
      <w:r>
        <w:t>A legitimate educational purpose may exist, but the tool and disclosure questions still remain.</w:t>
      </w:r>
    </w:p>
    <w:p>
      <w:r>
        <w:t>FERPA may allow school officials to access records needed for their professional responsibilities, subject to local policy. Sending those records to a vendor or AI feature is a separate issue that depends on the school's approved relationship and controls.</w:t>
      </w:r>
    </w:p>
    <w:p>
      <w:pPr>
        <w:spacing w:after="100"/>
      </w:pPr>
      <w:r>
        <w:rPr>
          <w:rFonts w:ascii="Arial Narrow" w:hAnsi="Arial Narrow"/>
          <w:b/>
          <w:color w:val="008C84"/>
          <w:sz w:val="19"/>
        </w:rPr>
        <w:t xml:space="preserve">ROUTE  </w:t>
      </w:r>
      <w:r>
        <w:t>Use school-approved reports and tools. Escalate any new AI processing workflow before entering live data.</w:t>
      </w:r>
    </w:p>
    <w:p>
      <w:pPr>
        <w:spacing w:before="0" w:after="100"/>
      </w:pPr>
      <w:r>
        <w:rPr>
          <w:rFonts w:ascii="Arial" w:hAnsi="Arial"/>
          <w:b/>
          <w:color w:val="4F6B67"/>
          <w:sz w:val="17"/>
        </w:rPr>
        <w:t xml:space="preserve">Official guidance: </w:t>
      </w:r>
      <w:hyperlink r:id="rId17">
        <w:r>
          <w:rPr>
            <w:rFonts w:ascii="Arial" w:hAnsi="Arial"/>
            <w:color w:val="008C84"/>
            <w:u w:val="single"/>
          </w:rPr>
          <w:t>FERPA school-official guidance</w:t>
        </w:r>
      </w:hyperlink>
      <w:r>
        <w:t xml:space="preserve"> | </w:t>
      </w:r>
      <w:hyperlink r:id="rId12">
        <w:r>
          <w:rPr>
            <w:rFonts w:ascii="Arial" w:hAnsi="Arial"/>
            <w:color w:val="008C84"/>
            <w:u w:val="single"/>
          </w:rPr>
          <w:t>NYCPS ERMA overview</w:t>
        </w:r>
      </w:hyperlink>
    </w:p>
    <w:p>
      <w:pPr>
        <w:pStyle w:val="Heading3"/>
      </w:pPr>
      <w:r>
        <w:t>What should happen if someone accidentally pastes student information into an unapproved tool?</w:t>
      </w:r>
    </w:p>
    <w:p>
      <w:r>
        <w:rPr>
          <w:rFonts w:ascii="Arial" w:hAnsi="Arial"/>
          <w:b/>
          <w:color w:val="063C33"/>
        </w:rPr>
        <w:t xml:space="preserve">Short answer: </w:t>
      </w:r>
      <w:r>
        <w:t>Stop. Do not continue transforming, summarizing, or reposting the information.</w:t>
      </w:r>
    </w:p>
    <w:p>
      <w:r>
        <w:t>The participant should follow the school's incident, deletion, and reporting procedures. Andrew should not investigate the record, repeat it in notes, or promise that deletion from the chat resolves the issue.</w:t>
      </w:r>
    </w:p>
    <w:p>
      <w:pPr>
        <w:spacing w:after="100"/>
      </w:pPr>
      <w:r>
        <w:rPr>
          <w:rFonts w:ascii="Arial Narrow" w:hAnsi="Arial Narrow"/>
          <w:b/>
          <w:color w:val="008C84"/>
          <w:sz w:val="19"/>
        </w:rPr>
        <w:t xml:space="preserve">ROUTE  </w:t>
      </w:r>
      <w:r>
        <w:t>Pause the exercise, ask the participant not to share the information with the room, and contact the named school privacy/data or technology owner immediately.</w:t>
      </w:r>
    </w:p>
    <w:p>
      <w:pPr>
        <w:spacing w:before="0" w:after="100"/>
      </w:pPr>
      <w:r>
        <w:rPr>
          <w:rFonts w:ascii="Arial" w:hAnsi="Arial"/>
          <w:b/>
          <w:color w:val="4F6B67"/>
          <w:sz w:val="17"/>
        </w:rPr>
        <w:t xml:space="preserve">Official guidance: </w:t>
      </w:r>
      <w:hyperlink r:id="rId16">
        <w:r>
          <w:rPr>
            <w:rFonts w:ascii="Arial" w:hAnsi="Arial"/>
            <w:color w:val="008C84"/>
            <w:u w:val="single"/>
          </w:rPr>
          <w:t>NYSED Education Law 2-d</w:t>
        </w:r>
      </w:hyperlink>
      <w:r>
        <w:t xml:space="preserve"> | </w:t>
      </w:r>
      <w:hyperlink r:id="rId12">
        <w:r>
          <w:rPr>
            <w:rFonts w:ascii="Arial" w:hAnsi="Arial"/>
            <w:color w:val="008C84"/>
            <w:u w:val="single"/>
          </w:rPr>
          <w:t>NYCPS ERMA overview</w:t>
        </w:r>
      </w:hyperlink>
    </w:p>
    <w:p>
      <w:pPr>
        <w:pStyle w:val="Heading3"/>
      </w:pPr>
      <w:r>
        <w:t>Could these advanced questions become a follow-up PD?</w:t>
      </w:r>
    </w:p>
    <w:p>
      <w:r>
        <w:rPr>
          <w:rFonts w:ascii="Arial" w:hAnsi="Arial"/>
          <w:b/>
          <w:color w:val="063C33"/>
        </w:rPr>
        <w:t xml:space="preserve">Short answer: </w:t>
      </w:r>
      <w:r>
        <w:t>Yes. They are valuable, but they need a different promise, prerequisites, and leadership ownership.</w:t>
      </w:r>
    </w:p>
    <w:p>
      <w:r>
        <w:t>The beginner lab teaches student-neutral assistant design. A follow-up lab could teach approved learning-pattern review using fictional data first, then a school-owned workflow only after data, tool, purpose, group-size, access, review, retention, and escalation rules are established.</w:t>
      </w:r>
    </w:p>
    <w:p>
      <w:pPr>
        <w:spacing w:after="100"/>
      </w:pPr>
      <w:r>
        <w:rPr>
          <w:rFonts w:ascii="Arial Narrow" w:hAnsi="Arial Narrow"/>
          <w:b/>
          <w:color w:val="008C84"/>
          <w:sz w:val="19"/>
        </w:rPr>
        <w:t xml:space="preserve">ROUTE  </w:t>
      </w:r>
      <w:r>
        <w:t>Offer an advanced discovery and design session to leadership before offering teacher practice with any student-level or group-level data.</w:t>
      </w:r>
    </w:p>
    <w:p>
      <w:pPr>
        <w:spacing w:before="0" w:after="100"/>
      </w:pPr>
      <w:r>
        <w:rPr>
          <w:rFonts w:ascii="Arial" w:hAnsi="Arial"/>
          <w:b/>
          <w:color w:val="4F6B67"/>
          <w:sz w:val="17"/>
        </w:rPr>
        <w:t xml:space="preserve">Official guidance: </w:t>
      </w:r>
      <w:hyperlink r:id="rId15">
        <w:r>
          <w:rPr>
            <w:rFonts w:ascii="Arial" w:hAnsi="Arial"/>
            <w:color w:val="008C84"/>
            <w:u w:val="single"/>
          </w:rPr>
          <w:t>NYCPS AI guidance</w:t>
        </w:r>
      </w:hyperlink>
      <w:r>
        <w:t xml:space="preserve"> | </w:t>
      </w:r>
      <w:hyperlink r:id="rId16">
        <w:r>
          <w:rPr>
            <w:rFonts w:ascii="Arial" w:hAnsi="Arial"/>
            <w:color w:val="008C84"/>
            <w:u w:val="single"/>
          </w:rPr>
          <w:t>NYSED Education Law 2-d</w:t>
        </w:r>
      </w:hyperlink>
    </w:p>
    <w:p>
      <w:r>
        <w:br w:type="page"/>
      </w:r>
    </w:p>
    <w:p>
      <w:pPr>
        <w:pStyle w:val="Heading1"/>
      </w:pPr>
      <w:r>
        <w:t>Part 7 | Follow-up PD: Learning Pattern Review</w:t>
      </w:r>
    </w:p>
    <w:p>
      <w:r>
        <w:t>This is a separate advanced product, not an extension teachers casually unlock after the beginner lab. It begins with leadership and data-governance decisions, then uses fictional or synthetic data before any live workflow is considered.</w:t>
      </w:r>
    </w:p>
    <w:p>
      <w:pPr>
        <w:pStyle w:val="Heading2"/>
      </w:pPr>
      <w:r>
        <w:t>Proposed promise</w:t>
      </w:r>
    </w:p>
    <w:tbl>
      <w:tblPr>
        <w:tblW w:type="dxa" w:w="9880"/>
        <w:jc w:val="left"/>
        <w:tblLayout w:type="fixed"/>
        <w:tblLook w:firstColumn="1" w:firstRow="1" w:lastColumn="0" w:lastRow="0" w:noHBand="0" w:noVBand="1" w:val="04A0"/>
        <w:tblInd w:w="0" w:type="dxa"/>
      </w:tblPr>
      <w:tblGrid>
        <w:gridCol w:w="9880"/>
      </w:tblGrid>
      <w:tr>
        <w:trPr>
          <w:cantSplit/>
        </w:trPr>
        <w:tc>
          <w:tcPr>
            <w:tcW w:type="dxa" w:w="9880"/>
            <w:tcMar>
              <w:top w:w="110" w:type="dxa"/>
              <w:start w:w="140" w:type="dxa"/>
              <w:bottom w:w="110" w:type="dxa"/>
              <w:end w:w="140" w:type="dxa"/>
            </w:tcMar>
            <w:shd w:fill="E8F6F3"/>
          </w:tcPr>
          <w:p>
            <w:pPr>
              <w:spacing w:after="60"/>
            </w:pPr>
            <w:r>
              <w:rPr>
                <w:rFonts w:ascii="Arial Narrow" w:hAnsi="Arial Narrow"/>
                <w:b/>
                <w:color w:val="008C84"/>
                <w:sz w:val="19"/>
              </w:rPr>
              <w:t>ADVANCED PD CONCEPT</w:t>
            </w:r>
          </w:p>
          <w:p>
            <w:pPr>
              <w:spacing w:after="0"/>
            </w:pPr>
            <w:r>
              <w:rPr>
                <w:rFonts w:ascii="Arial" w:hAnsi="Arial"/>
                <w:b w:val="0"/>
                <w:color w:val="123A35"/>
                <w:sz w:val="21"/>
              </w:rPr>
              <w:t>Help educators inspect approved learning-pattern data without turning AI into a grader, profiler, placement engine, or substitute for professional judgment.</w:t>
            </w:r>
          </w:p>
        </w:tc>
      </w:tr>
    </w:tbl>
    <w:p>
      <w:pPr>
        <w:spacing w:after="0"/>
      </w:pPr>
    </w:p>
    <w:p>
      <w:pPr>
        <w:pStyle w:val="Heading2"/>
      </w:pPr>
      <w:r>
        <w:t>Required prerequisites</w:t>
      </w:r>
    </w:p>
    <w:p>
      <w:pPr>
        <w:pStyle w:val="ListBullet"/>
      </w:pPr>
      <w:r>
        <w:t>The exact school-approved product, account, feature, and data source are named.</w:t>
      </w:r>
    </w:p>
    <w:p>
      <w:pPr>
        <w:pStyle w:val="ListBullet"/>
      </w:pPr>
      <w:r>
        <w:t>The school privacy/data owner approves the fields, purpose, access, retention, and export path.</w:t>
      </w:r>
    </w:p>
    <w:p>
      <w:pPr>
        <w:pStyle w:val="ListBullet"/>
      </w:pPr>
      <w:r>
        <w:t>Leadership defines permitted instructional decisions and prohibited high-impact uses.</w:t>
      </w:r>
    </w:p>
    <w:p>
      <w:pPr>
        <w:pStyle w:val="ListBullet"/>
      </w:pPr>
      <w:r>
        <w:t>Minimum group-size or small-cell suppression rules are defined.</w:t>
      </w:r>
    </w:p>
    <w:p>
      <w:pPr>
        <w:pStyle w:val="ListBullet"/>
      </w:pPr>
      <w:r>
        <w:t>The workflow begins with fictional or synthetic data and passes a documented test.</w:t>
      </w:r>
    </w:p>
    <w:p>
      <w:pPr>
        <w:pStyle w:val="ListBullet"/>
      </w:pPr>
      <w:r>
        <w:t>Educators receive bias, re-identification, interpretation, and escalation practice.</w:t>
      </w:r>
    </w:p>
    <w:p>
      <w:pPr>
        <w:pStyle w:val="ListBullet"/>
      </w:pPr>
      <w:r>
        <w:t>Human review and documentation are required before any instructional response.</w:t>
      </w:r>
    </w:p>
    <w:p>
      <w:pPr>
        <w:pStyle w:val="Heading2"/>
      </w:pPr>
      <w:r>
        <w:t>Possible 90-minute advanced sequence</w:t>
      </w:r>
    </w:p>
    <w:tbl>
      <w:tblPr>
        <w:tblW w:type="dxa" w:w="9880"/>
        <w:jc w:val="left"/>
        <w:tblLayout w:type="fixed"/>
        <w:tblLook w:firstColumn="1" w:firstRow="1" w:lastColumn="0" w:lastRow="0" w:noHBand="0" w:noVBand="1" w:val="04A0"/>
        <w:tblInd w:w="0" w:type="dxa"/>
      </w:tblPr>
      <w:tblGrid>
        <w:gridCol w:w="1200"/>
        <w:gridCol w:w="2650"/>
        <w:gridCol w:w="6030"/>
      </w:tblGrid>
      <w:tr>
        <w:trPr>
          <w:tblHeader w:val="true"/>
        </w:trPr>
        <w:tc>
          <w:tcPr>
            <w:tcW w:type="dxa" w:w="1200"/>
            <w:shd w:fill="063C33"/>
            <w:tcMar>
              <w:top w:w="110" w:type="dxa"/>
              <w:start w:w="140" w:type="dxa"/>
              <w:bottom w:w="110" w:type="dxa"/>
              <w:end w:w="140" w:type="dxa"/>
            </w:tcMar>
          </w:tcPr>
          <w:p>
            <w:r>
              <w:rPr>
                <w:rFonts w:ascii="Arial Narrow" w:hAnsi="Arial Narrow"/>
                <w:b/>
                <w:color w:val="FFFFFF"/>
                <w:sz w:val="18"/>
              </w:rPr>
              <w:t>TIME</w:t>
            </w:r>
          </w:p>
        </w:tc>
        <w:tc>
          <w:tcPr>
            <w:tcW w:type="dxa" w:w="2650"/>
            <w:shd w:fill="063C33"/>
            <w:tcMar>
              <w:top w:w="110" w:type="dxa"/>
              <w:start w:w="140" w:type="dxa"/>
              <w:bottom w:w="110" w:type="dxa"/>
              <w:end w:w="140" w:type="dxa"/>
            </w:tcMar>
          </w:tcPr>
          <w:p>
            <w:r>
              <w:rPr>
                <w:rFonts w:ascii="Arial Narrow" w:hAnsi="Arial Narrow"/>
                <w:b/>
                <w:color w:val="FFFFFF"/>
                <w:sz w:val="18"/>
              </w:rPr>
              <w:t>STAGE</w:t>
            </w:r>
          </w:p>
        </w:tc>
        <w:tc>
          <w:tcPr>
            <w:tcW w:type="dxa" w:w="6030"/>
            <w:shd w:fill="063C33"/>
            <w:tcMar>
              <w:top w:w="110" w:type="dxa"/>
              <w:start w:w="140" w:type="dxa"/>
              <w:bottom w:w="110" w:type="dxa"/>
              <w:end w:w="140" w:type="dxa"/>
            </w:tcMar>
          </w:tcPr>
          <w:p>
            <w:r>
              <w:rPr>
                <w:rFonts w:ascii="Arial Narrow" w:hAnsi="Arial Narrow"/>
                <w:b/>
                <w:color w:val="FFFFFF"/>
                <w:sz w:val="18"/>
              </w:rPr>
              <w:t>OUTPUT</w:t>
            </w:r>
          </w:p>
        </w:tc>
      </w:tr>
      <w:tr>
        <w:tc>
          <w:tcPr>
            <w:tcW w:type="dxa" w:w="1200"/>
            <w:tcMar>
              <w:top w:w="110" w:type="dxa"/>
              <w:start w:w="140" w:type="dxa"/>
              <w:bottom w:w="110" w:type="dxa"/>
              <w:end w:w="140" w:type="dxa"/>
            </w:tcMar>
          </w:tcPr>
          <w:p>
            <w:r>
              <w:t>0-15</w:t>
            </w:r>
          </w:p>
        </w:tc>
        <w:tc>
          <w:tcPr>
            <w:tcW w:type="dxa" w:w="2650"/>
            <w:tcMar>
              <w:top w:w="110" w:type="dxa"/>
              <w:start w:w="140" w:type="dxa"/>
              <w:bottom w:w="110" w:type="dxa"/>
              <w:end w:w="140" w:type="dxa"/>
            </w:tcMar>
          </w:tcPr>
          <w:p>
            <w:r>
              <w:t>Purpose before data</w:t>
            </w:r>
          </w:p>
        </w:tc>
        <w:tc>
          <w:tcPr>
            <w:tcW w:type="dxa" w:w="6030"/>
            <w:tcMar>
              <w:top w:w="110" w:type="dxa"/>
              <w:start w:w="140" w:type="dxa"/>
              <w:bottom w:w="110" w:type="dxa"/>
              <w:end w:w="140" w:type="dxa"/>
            </w:tcMar>
          </w:tcPr>
          <w:p>
            <w:r>
              <w:t>Name one instructional question and the decision that remains human.</w:t>
            </w:r>
          </w:p>
        </w:tc>
      </w:tr>
      <w:tr>
        <w:tc>
          <w:tcPr>
            <w:tcW w:type="dxa" w:w="1200"/>
            <w:tcMar>
              <w:top w:w="110" w:type="dxa"/>
              <w:start w:w="140" w:type="dxa"/>
              <w:bottom w:w="110" w:type="dxa"/>
              <w:end w:w="140" w:type="dxa"/>
            </w:tcMar>
          </w:tcPr>
          <w:p>
            <w:r>
              <w:t>15-30</w:t>
            </w:r>
          </w:p>
        </w:tc>
        <w:tc>
          <w:tcPr>
            <w:tcW w:type="dxa" w:w="2650"/>
            <w:tcMar>
              <w:top w:w="110" w:type="dxa"/>
              <w:start w:w="140" w:type="dxa"/>
              <w:bottom w:w="110" w:type="dxa"/>
              <w:end w:w="140" w:type="dxa"/>
            </w:tcMar>
          </w:tcPr>
          <w:p>
            <w:r>
              <w:t>Data minimization</w:t>
            </w:r>
          </w:p>
        </w:tc>
        <w:tc>
          <w:tcPr>
            <w:tcW w:type="dxa" w:w="6030"/>
            <w:tcMar>
              <w:top w:w="110" w:type="dxa"/>
              <w:start w:w="140" w:type="dxa"/>
              <w:bottom w:w="110" w:type="dxa"/>
              <w:end w:w="140" w:type="dxa"/>
            </w:tcMar>
          </w:tcPr>
          <w:p>
            <w:r>
              <w:t>Choose only the approved fields needed for that question.</w:t>
            </w:r>
          </w:p>
        </w:tc>
      </w:tr>
      <w:tr>
        <w:tc>
          <w:tcPr>
            <w:tcW w:type="dxa" w:w="1200"/>
            <w:tcMar>
              <w:top w:w="110" w:type="dxa"/>
              <w:start w:w="140" w:type="dxa"/>
              <w:bottom w:w="110" w:type="dxa"/>
              <w:end w:w="140" w:type="dxa"/>
            </w:tcMar>
          </w:tcPr>
          <w:p>
            <w:r>
              <w:t>30-45</w:t>
            </w:r>
          </w:p>
        </w:tc>
        <w:tc>
          <w:tcPr>
            <w:tcW w:type="dxa" w:w="2650"/>
            <w:tcMar>
              <w:top w:w="110" w:type="dxa"/>
              <w:start w:w="140" w:type="dxa"/>
              <w:bottom w:w="110" w:type="dxa"/>
              <w:end w:w="140" w:type="dxa"/>
            </w:tcMar>
          </w:tcPr>
          <w:p>
            <w:r>
              <w:t>Identity and group risk</w:t>
            </w:r>
          </w:p>
        </w:tc>
        <w:tc>
          <w:tcPr>
            <w:tcW w:type="dxa" w:w="6030"/>
            <w:tcMar>
              <w:top w:w="110" w:type="dxa"/>
              <w:start w:w="140" w:type="dxa"/>
              <w:bottom w:w="110" w:type="dxa"/>
              <w:end w:w="140" w:type="dxa"/>
            </w:tcMar>
          </w:tcPr>
          <w:p>
            <w:r>
              <w:t>Test direct, indirect, linkability, small-group, and proxy-variable risks.</w:t>
            </w:r>
          </w:p>
        </w:tc>
      </w:tr>
      <w:tr>
        <w:tc>
          <w:tcPr>
            <w:tcW w:type="dxa" w:w="1200"/>
            <w:tcMar>
              <w:top w:w="110" w:type="dxa"/>
              <w:start w:w="140" w:type="dxa"/>
              <w:bottom w:w="110" w:type="dxa"/>
              <w:end w:w="140" w:type="dxa"/>
            </w:tcMar>
          </w:tcPr>
          <w:p>
            <w:r>
              <w:t>45-60</w:t>
            </w:r>
          </w:p>
        </w:tc>
        <w:tc>
          <w:tcPr>
            <w:tcW w:type="dxa" w:w="2650"/>
            <w:tcMar>
              <w:top w:w="110" w:type="dxa"/>
              <w:start w:w="140" w:type="dxa"/>
              <w:bottom w:w="110" w:type="dxa"/>
              <w:end w:w="140" w:type="dxa"/>
            </w:tcMar>
          </w:tcPr>
          <w:p>
            <w:r>
              <w:t>Fictional analysis</w:t>
            </w:r>
          </w:p>
        </w:tc>
        <w:tc>
          <w:tcPr>
            <w:tcW w:type="dxa" w:w="6030"/>
            <w:tcMar>
              <w:top w:w="110" w:type="dxa"/>
              <w:start w:w="140" w:type="dxa"/>
              <w:bottom w:w="110" w:type="dxa"/>
              <w:end w:w="140" w:type="dxa"/>
            </w:tcMar>
          </w:tcPr>
          <w:p>
            <w:r>
              <w:t>Use a synthetic dataset to inspect patterns and failure modes.</w:t>
            </w:r>
          </w:p>
        </w:tc>
      </w:tr>
      <w:tr>
        <w:tc>
          <w:tcPr>
            <w:tcW w:type="dxa" w:w="1200"/>
            <w:tcMar>
              <w:top w:w="110" w:type="dxa"/>
              <w:start w:w="140" w:type="dxa"/>
              <w:bottom w:w="110" w:type="dxa"/>
              <w:end w:w="140" w:type="dxa"/>
            </w:tcMar>
          </w:tcPr>
          <w:p>
            <w:r>
              <w:t>60-75</w:t>
            </w:r>
          </w:p>
        </w:tc>
        <w:tc>
          <w:tcPr>
            <w:tcW w:type="dxa" w:w="2650"/>
            <w:tcMar>
              <w:top w:w="110" w:type="dxa"/>
              <w:start w:w="140" w:type="dxa"/>
              <w:bottom w:w="110" w:type="dxa"/>
              <w:end w:w="140" w:type="dxa"/>
            </w:tcMar>
          </w:tcPr>
          <w:p>
            <w:r>
              <w:t>Interpretation and bias</w:t>
            </w:r>
          </w:p>
        </w:tc>
        <w:tc>
          <w:tcPr>
            <w:tcW w:type="dxa" w:w="6030"/>
            <w:tcMar>
              <w:top w:w="110" w:type="dxa"/>
              <w:start w:w="140" w:type="dxa"/>
              <w:bottom w:w="110" w:type="dxa"/>
              <w:end w:w="140" w:type="dxa"/>
            </w:tcMar>
          </w:tcPr>
          <w:p>
            <w:r>
              <w:t>Compare the AI summary with source data and alternate explanations.</w:t>
            </w:r>
          </w:p>
        </w:tc>
      </w:tr>
      <w:tr>
        <w:tc>
          <w:tcPr>
            <w:tcW w:type="dxa" w:w="1200"/>
            <w:tcMar>
              <w:top w:w="110" w:type="dxa"/>
              <w:start w:w="140" w:type="dxa"/>
              <w:bottom w:w="110" w:type="dxa"/>
              <w:end w:w="140" w:type="dxa"/>
            </w:tcMar>
          </w:tcPr>
          <w:p>
            <w:r>
              <w:t>75-90</w:t>
            </w:r>
          </w:p>
        </w:tc>
        <w:tc>
          <w:tcPr>
            <w:tcW w:type="dxa" w:w="2650"/>
            <w:tcMar>
              <w:top w:w="110" w:type="dxa"/>
              <w:start w:w="140" w:type="dxa"/>
              <w:bottom w:w="110" w:type="dxa"/>
              <w:end w:w="140" w:type="dxa"/>
            </w:tcMar>
          </w:tcPr>
          <w:p>
            <w:r>
              <w:t>Decision and escalation</w:t>
            </w:r>
          </w:p>
        </w:tc>
        <w:tc>
          <w:tcPr>
            <w:tcW w:type="dxa" w:w="6030"/>
            <w:tcMar>
              <w:top w:w="110" w:type="dxa"/>
              <w:start w:w="140" w:type="dxa"/>
              <w:bottom w:w="110" w:type="dxa"/>
              <w:end w:w="140" w:type="dxa"/>
            </w:tcMar>
          </w:tcPr>
          <w:p>
            <w:r>
              <w:t>Document what the tool may surface, what educators decide, and when the workflow stops.</w:t>
            </w:r>
          </w:p>
        </w:tc>
      </w:tr>
    </w:tbl>
    <w:p>
      <w:pPr>
        <w:pStyle w:val="Heading2"/>
      </w:pPr>
      <w:r>
        <w:t>What Andrew can responsibly own</w:t>
      </w:r>
    </w:p>
    <w:p>
      <w:pPr>
        <w:pStyle w:val="ListBullet"/>
      </w:pPr>
      <w:r>
        <w:t>Facilitation, task framing, workflow design, fictional practice, human review routines, and measurement.</w:t>
      </w:r>
    </w:p>
    <w:p>
      <w:pPr>
        <w:pStyle w:val="ListBullet"/>
      </w:pPr>
      <w:r>
        <w:t>Making hidden assumptions, decision lines, and failure modes visible.</w:t>
      </w:r>
    </w:p>
    <w:p>
      <w:pPr>
        <w:pStyle w:val="ListBullet"/>
      </w:pPr>
      <w:r>
        <w:t>Creating platform adapters after the school names its approved environment.</w:t>
      </w:r>
    </w:p>
    <w:p>
      <w:pPr>
        <w:pStyle w:val="Heading2"/>
      </w:pPr>
      <w:r>
        <w:t>What remains with school specialists</w:t>
      </w:r>
    </w:p>
    <w:p>
      <w:pPr>
        <w:pStyle w:val="ListBullet"/>
      </w:pPr>
      <w:r>
        <w:t>Legal interpretation, compliance certification, privacy/security approval, procurement, and vendor contracts.</w:t>
      </w:r>
    </w:p>
    <w:p>
      <w:pPr>
        <w:pStyle w:val="ListBullet"/>
      </w:pPr>
      <w:r>
        <w:t>Data-access authorization, de-identification standards, key management, retention, deletion, and incident response.</w:t>
      </w:r>
    </w:p>
    <w:p>
      <w:pPr>
        <w:pStyle w:val="ListBullet"/>
      </w:pPr>
      <w:r>
        <w:t>Special-education, counseling, discipline, safety, placement, and other regulated decisions.</w:t>
      </w:r>
    </w:p>
    <w:p>
      <w:pPr>
        <w:pStyle w:val="Heading2"/>
      </w:pPr>
      <w:r>
        <w:t>Leadership discovery before offering this</w:t>
      </w:r>
    </w:p>
    <w:p>
      <w:pPr>
        <w:pStyle w:val="ListBullet"/>
      </w:pPr>
      <w:r>
        <w:t>What instructional question are educators trying to answer, and what decision must remain human?</w:t>
      </w:r>
    </w:p>
    <w:p>
      <w:pPr>
        <w:pStyle w:val="ListBullet"/>
      </w:pPr>
      <w:r>
        <w:t>Which exact product, account, feature, data source, and export path are already approved?</w:t>
      </w:r>
    </w:p>
    <w:p>
      <w:pPr>
        <w:pStyle w:val="ListBullet"/>
      </w:pPr>
      <w:r>
        <w:t>Who owns privacy/data, technology, instructional policy, and regulated specialist decisions?</w:t>
      </w:r>
    </w:p>
    <w:p>
      <w:pPr>
        <w:pStyle w:val="ListBullet"/>
      </w:pPr>
      <w:r>
        <w:t>Which data fields are necessary, which are prohibited, and what group-size or suppression rule applies?</w:t>
      </w:r>
    </w:p>
    <w:p>
      <w:pPr>
        <w:pStyle w:val="ListBullet"/>
      </w:pPr>
      <w:r>
        <w:t>What output may be retained, who may access it, when is it deleted, and how are uncertain findings escalated?</w:t>
      </w:r>
    </w:p>
    <w:p>
      <w:pPr>
        <w:pStyle w:val="ListBullet"/>
      </w:pPr>
      <w:r>
        <w:t>What evidence would make leadership continue, revise, or stop the pilot?</w:t>
      </w:r>
    </w:p>
    <w:tbl>
      <w:tblPr>
        <w:tblW w:type="dxa" w:w="9880"/>
        <w:jc w:val="left"/>
        <w:tblLayout w:type="fixed"/>
        <w:tblLook w:firstColumn="1" w:firstRow="1" w:lastColumn="0" w:lastRow="0" w:noHBand="0" w:noVBand="1" w:val="04A0"/>
        <w:tblInd w:w="0" w:type="dxa"/>
      </w:tblPr>
      <w:tblGrid>
        <w:gridCol w:w="9880"/>
      </w:tblGrid>
      <w:tr>
        <w:trPr>
          <w:cantSplit/>
        </w:trPr>
        <w:tc>
          <w:tcPr>
            <w:tcW w:type="dxa" w:w="9880"/>
            <w:tcMar>
              <w:top w:w="110" w:type="dxa"/>
              <w:start w:w="140" w:type="dxa"/>
              <w:bottom w:w="110" w:type="dxa"/>
              <w:end w:w="140" w:type="dxa"/>
            </w:tcMar>
            <w:shd w:fill="E8F6F3"/>
          </w:tcPr>
          <w:p>
            <w:pPr>
              <w:spacing w:after="60"/>
            </w:pPr>
            <w:r>
              <w:rPr>
                <w:rFonts w:ascii="Arial Narrow" w:hAnsi="Arial Narrow"/>
                <w:b/>
                <w:color w:val="008C84"/>
                <w:sz w:val="19"/>
              </w:rPr>
              <w:t>PROCEED ONLY IF</w:t>
            </w:r>
          </w:p>
          <w:p>
            <w:pPr>
              <w:spacing w:after="0"/>
            </w:pPr>
            <w:r>
              <w:rPr>
                <w:rFonts w:ascii="Arial" w:hAnsi="Arial"/>
                <w:b w:val="0"/>
                <w:color w:val="123A35"/>
                <w:sz w:val="21"/>
              </w:rPr>
              <w:t>Leadership can answer every discovery question, name the responsible owners, and authorize a fictional-data rehearsal before any live-data workflow is considered.</w:t>
            </w:r>
          </w:p>
        </w:tc>
      </w:tr>
    </w:tbl>
    <w:p>
      <w:pPr>
        <w:spacing w:after="0"/>
      </w:pPr>
    </w:p>
    <w:p>
      <w:r>
        <w:br w:type="page"/>
      </w:r>
    </w:p>
    <w:p>
      <w:pPr>
        <w:pStyle w:val="Heading1"/>
      </w:pPr>
      <w:r>
        <w:t>Appendix A | Six-gate student-data decision ladder</w:t>
      </w:r>
    </w:p>
    <w:p>
      <w:r>
        <w:t>Use this ladder when a participant asks whether AI may process student work, records, coded rows, groups, or learning trends. One unknown answer means stop and escalate. It is not a compliance checklist.</w:t>
      </w:r>
    </w:p>
    <w:tbl>
      <w:tblPr>
        <w:tblW w:type="dxa" w:w="9880"/>
        <w:jc w:val="left"/>
        <w:tblLayout w:type="fixed"/>
        <w:tblLook w:firstColumn="1" w:firstRow="1" w:lastColumn="0" w:lastRow="0" w:noHBand="0" w:noVBand="1" w:val="04A0"/>
        <w:tblInd w:w="0" w:type="dxa"/>
      </w:tblPr>
      <w:tblGrid>
        <w:gridCol w:w="700"/>
        <w:gridCol w:w="1700"/>
        <w:gridCol w:w="7480"/>
      </w:tblGrid>
      <w:tr>
        <w:tc>
          <w:tcPr>
            <w:tcW w:type="dxa" w:w="700"/>
            <w:tcMar>
              <w:top w:w="110" w:type="dxa"/>
              <w:start w:w="140" w:type="dxa"/>
              <w:bottom w:w="110" w:type="dxa"/>
              <w:end w:w="140" w:type="dxa"/>
            </w:tcMar>
            <w:shd w:fill="F2B633"/>
          </w:tcPr>
          <w:p>
            <w:pPr>
              <w:jc w:val="center"/>
            </w:pPr>
            <w:r>
              <w:rPr>
                <w:rFonts w:ascii="Arial Narrow" w:hAnsi="Arial Narrow"/>
                <w:b/>
                <w:color w:val="063C33"/>
                <w:sz w:val="30"/>
              </w:rPr>
              <w:t>1</w:t>
            </w:r>
          </w:p>
        </w:tc>
        <w:tc>
          <w:tcPr>
            <w:tcW w:type="dxa" w:w="1700"/>
            <w:tcMar>
              <w:top w:w="110" w:type="dxa"/>
              <w:start w:w="140" w:type="dxa"/>
              <w:bottom w:w="110" w:type="dxa"/>
              <w:end w:w="140" w:type="dxa"/>
            </w:tcMar>
            <w:shd w:fill="063C33"/>
          </w:tcPr>
          <w:p>
            <w:r>
              <w:rPr>
                <w:rFonts w:ascii="Arial Narrow" w:hAnsi="Arial Narrow"/>
                <w:b/>
                <w:color w:val="FFFFFF"/>
                <w:sz w:val="19"/>
              </w:rPr>
              <w:t>PURPOSE</w:t>
            </w:r>
          </w:p>
        </w:tc>
        <w:tc>
          <w:tcPr>
            <w:tcW w:type="dxa" w:w="7480"/>
            <w:tcMar>
              <w:top w:w="110" w:type="dxa"/>
              <w:start w:w="140" w:type="dxa"/>
              <w:bottom w:w="110" w:type="dxa"/>
              <w:end w:w="140" w:type="dxa"/>
            </w:tcMar>
            <w:shd w:fill="F8FAF9"/>
          </w:tcPr>
          <w:p>
            <w:r>
              <w:rPr>
                <w:rFonts w:ascii="Arial" w:hAnsi="Arial"/>
                <w:color w:val="123A35"/>
                <w:sz w:val="20"/>
              </w:rPr>
              <w:t>Is the instructional purpose legitimate, specific, and necessary?</w:t>
            </w:r>
          </w:p>
        </w:tc>
      </w:tr>
    </w:tbl>
    <w:p>
      <w:pPr>
        <w:spacing w:after="0"/>
      </w:pPr>
    </w:p>
    <w:tbl>
      <w:tblPr>
        <w:tblW w:type="dxa" w:w="9880"/>
        <w:jc w:val="left"/>
        <w:tblLayout w:type="fixed"/>
        <w:tblLook w:firstColumn="1" w:firstRow="1" w:lastColumn="0" w:lastRow="0" w:noHBand="0" w:noVBand="1" w:val="04A0"/>
        <w:tblInd w:w="0" w:type="dxa"/>
      </w:tblPr>
      <w:tblGrid>
        <w:gridCol w:w="700"/>
        <w:gridCol w:w="1700"/>
        <w:gridCol w:w="7480"/>
      </w:tblGrid>
      <w:tr>
        <w:tc>
          <w:tcPr>
            <w:tcW w:type="dxa" w:w="700"/>
            <w:tcMar>
              <w:top w:w="110" w:type="dxa"/>
              <w:start w:w="140" w:type="dxa"/>
              <w:bottom w:w="110" w:type="dxa"/>
              <w:end w:w="140" w:type="dxa"/>
            </w:tcMar>
            <w:shd w:fill="F2B633"/>
          </w:tcPr>
          <w:p>
            <w:pPr>
              <w:jc w:val="center"/>
            </w:pPr>
            <w:r>
              <w:rPr>
                <w:rFonts w:ascii="Arial Narrow" w:hAnsi="Arial Narrow"/>
                <w:b/>
                <w:color w:val="063C33"/>
                <w:sz w:val="30"/>
              </w:rPr>
              <w:t>2</w:t>
            </w:r>
          </w:p>
        </w:tc>
        <w:tc>
          <w:tcPr>
            <w:tcW w:type="dxa" w:w="1700"/>
            <w:tcMar>
              <w:top w:w="110" w:type="dxa"/>
              <w:start w:w="140" w:type="dxa"/>
              <w:bottom w:w="110" w:type="dxa"/>
              <w:end w:w="140" w:type="dxa"/>
            </w:tcMar>
            <w:shd w:fill="063C33"/>
          </w:tcPr>
          <w:p>
            <w:r>
              <w:rPr>
                <w:rFonts w:ascii="Arial Narrow" w:hAnsi="Arial Narrow"/>
                <w:b/>
                <w:color w:val="FFFFFF"/>
                <w:sz w:val="19"/>
              </w:rPr>
              <w:t>ENVIRONMENT</w:t>
            </w:r>
          </w:p>
        </w:tc>
        <w:tc>
          <w:tcPr>
            <w:tcW w:type="dxa" w:w="7480"/>
            <w:tcMar>
              <w:top w:w="110" w:type="dxa"/>
              <w:start w:w="140" w:type="dxa"/>
              <w:bottom w:w="110" w:type="dxa"/>
              <w:end w:w="140" w:type="dxa"/>
            </w:tcMar>
            <w:shd w:fill="F8FAF9"/>
          </w:tcPr>
          <w:p>
            <w:r>
              <w:rPr>
                <w:rFonts w:ascii="Arial" w:hAnsi="Arial"/>
                <w:color w:val="123A35"/>
                <w:sz w:val="20"/>
              </w:rPr>
              <w:t>Is the exact product, account, and feature approved for this use?</w:t>
            </w:r>
          </w:p>
        </w:tc>
      </w:tr>
    </w:tbl>
    <w:p>
      <w:pPr>
        <w:spacing w:after="0"/>
      </w:pPr>
    </w:p>
    <w:tbl>
      <w:tblPr>
        <w:tblW w:type="dxa" w:w="9880"/>
        <w:jc w:val="left"/>
        <w:tblLayout w:type="fixed"/>
        <w:tblLook w:firstColumn="1" w:firstRow="1" w:lastColumn="0" w:lastRow="0" w:noHBand="0" w:noVBand="1" w:val="04A0"/>
        <w:tblInd w:w="0" w:type="dxa"/>
      </w:tblPr>
      <w:tblGrid>
        <w:gridCol w:w="700"/>
        <w:gridCol w:w="1700"/>
        <w:gridCol w:w="7480"/>
      </w:tblGrid>
      <w:tr>
        <w:tc>
          <w:tcPr>
            <w:tcW w:type="dxa" w:w="700"/>
            <w:tcMar>
              <w:top w:w="110" w:type="dxa"/>
              <w:start w:w="140" w:type="dxa"/>
              <w:bottom w:w="110" w:type="dxa"/>
              <w:end w:w="140" w:type="dxa"/>
            </w:tcMar>
            <w:shd w:fill="F2B633"/>
          </w:tcPr>
          <w:p>
            <w:pPr>
              <w:jc w:val="center"/>
            </w:pPr>
            <w:r>
              <w:rPr>
                <w:rFonts w:ascii="Arial Narrow" w:hAnsi="Arial Narrow"/>
                <w:b/>
                <w:color w:val="063C33"/>
                <w:sz w:val="30"/>
              </w:rPr>
              <w:t>3</w:t>
            </w:r>
          </w:p>
        </w:tc>
        <w:tc>
          <w:tcPr>
            <w:tcW w:type="dxa" w:w="1700"/>
            <w:tcMar>
              <w:top w:w="110" w:type="dxa"/>
              <w:start w:w="140" w:type="dxa"/>
              <w:bottom w:w="110" w:type="dxa"/>
              <w:end w:w="140" w:type="dxa"/>
            </w:tcMar>
            <w:shd w:fill="063C33"/>
          </w:tcPr>
          <w:p>
            <w:r>
              <w:rPr>
                <w:rFonts w:ascii="Arial Narrow" w:hAnsi="Arial Narrow"/>
                <w:b/>
                <w:color w:val="FFFFFF"/>
                <w:sz w:val="19"/>
              </w:rPr>
              <w:t>DATA</w:t>
            </w:r>
          </w:p>
        </w:tc>
        <w:tc>
          <w:tcPr>
            <w:tcW w:type="dxa" w:w="7480"/>
            <w:tcMar>
              <w:top w:w="110" w:type="dxa"/>
              <w:start w:w="140" w:type="dxa"/>
              <w:bottom w:w="110" w:type="dxa"/>
              <w:end w:w="140" w:type="dxa"/>
            </w:tcMar>
            <w:shd w:fill="F8FAF9"/>
          </w:tcPr>
          <w:p>
            <w:r>
              <w:rPr>
                <w:rFonts w:ascii="Arial" w:hAnsi="Arial"/>
                <w:color w:val="123A35"/>
                <w:sz w:val="20"/>
              </w:rPr>
              <w:t>Are the fields and records approved, minimum necessary, and handled through the authorized route?</w:t>
            </w:r>
          </w:p>
        </w:tc>
      </w:tr>
    </w:tbl>
    <w:p>
      <w:pPr>
        <w:spacing w:after="0"/>
      </w:pPr>
    </w:p>
    <w:tbl>
      <w:tblPr>
        <w:tblW w:type="dxa" w:w="9880"/>
        <w:jc w:val="left"/>
        <w:tblLayout w:type="fixed"/>
        <w:tblLook w:firstColumn="1" w:firstRow="1" w:lastColumn="0" w:lastRow="0" w:noHBand="0" w:noVBand="1" w:val="04A0"/>
        <w:tblInd w:w="0" w:type="dxa"/>
      </w:tblPr>
      <w:tblGrid>
        <w:gridCol w:w="700"/>
        <w:gridCol w:w="1700"/>
        <w:gridCol w:w="7480"/>
      </w:tblGrid>
      <w:tr>
        <w:tc>
          <w:tcPr>
            <w:tcW w:type="dxa" w:w="700"/>
            <w:tcMar>
              <w:top w:w="110" w:type="dxa"/>
              <w:start w:w="140" w:type="dxa"/>
              <w:bottom w:w="110" w:type="dxa"/>
              <w:end w:w="140" w:type="dxa"/>
            </w:tcMar>
            <w:shd w:fill="F2B633"/>
          </w:tcPr>
          <w:p>
            <w:pPr>
              <w:jc w:val="center"/>
            </w:pPr>
            <w:r>
              <w:rPr>
                <w:rFonts w:ascii="Arial Narrow" w:hAnsi="Arial Narrow"/>
                <w:b/>
                <w:color w:val="063C33"/>
                <w:sz w:val="30"/>
              </w:rPr>
              <w:t>4</w:t>
            </w:r>
          </w:p>
        </w:tc>
        <w:tc>
          <w:tcPr>
            <w:tcW w:type="dxa" w:w="1700"/>
            <w:tcMar>
              <w:top w:w="110" w:type="dxa"/>
              <w:start w:w="140" w:type="dxa"/>
              <w:bottom w:w="110" w:type="dxa"/>
              <w:end w:w="140" w:type="dxa"/>
            </w:tcMar>
            <w:shd w:fill="063C33"/>
          </w:tcPr>
          <w:p>
            <w:r>
              <w:rPr>
                <w:rFonts w:ascii="Arial Narrow" w:hAnsi="Arial Narrow"/>
                <w:b/>
                <w:color w:val="FFFFFF"/>
                <w:sz w:val="19"/>
              </w:rPr>
              <w:t>IDENTITY</w:t>
            </w:r>
          </w:p>
        </w:tc>
        <w:tc>
          <w:tcPr>
            <w:tcW w:type="dxa" w:w="7480"/>
            <w:tcMar>
              <w:top w:w="110" w:type="dxa"/>
              <w:start w:w="140" w:type="dxa"/>
              <w:bottom w:w="110" w:type="dxa"/>
              <w:end w:w="140" w:type="dxa"/>
            </w:tcMar>
            <w:shd w:fill="F8FAF9"/>
          </w:tcPr>
          <w:p>
            <w:r>
              <w:rPr>
                <w:rFonts w:ascii="Arial" w:hAnsi="Arial"/>
                <w:color w:val="123A35"/>
                <w:sz w:val="20"/>
              </w:rPr>
              <w:t>Has the school, not the teacher alone, addressed direct, indirect, coded, linked, and small-group identification risk?</w:t>
            </w:r>
          </w:p>
        </w:tc>
      </w:tr>
    </w:tbl>
    <w:p>
      <w:pPr>
        <w:spacing w:after="0"/>
      </w:pPr>
    </w:p>
    <w:tbl>
      <w:tblPr>
        <w:tblW w:type="dxa" w:w="9880"/>
        <w:jc w:val="left"/>
        <w:tblLayout w:type="fixed"/>
        <w:tblLook w:firstColumn="1" w:firstRow="1" w:lastColumn="0" w:lastRow="0" w:noHBand="0" w:noVBand="1" w:val="04A0"/>
        <w:tblInd w:w="0" w:type="dxa"/>
      </w:tblPr>
      <w:tblGrid>
        <w:gridCol w:w="700"/>
        <w:gridCol w:w="1700"/>
        <w:gridCol w:w="7480"/>
      </w:tblGrid>
      <w:tr>
        <w:tc>
          <w:tcPr>
            <w:tcW w:type="dxa" w:w="700"/>
            <w:tcMar>
              <w:top w:w="110" w:type="dxa"/>
              <w:start w:w="140" w:type="dxa"/>
              <w:bottom w:w="110" w:type="dxa"/>
              <w:end w:w="140" w:type="dxa"/>
            </w:tcMar>
            <w:shd w:fill="F2B633"/>
          </w:tcPr>
          <w:p>
            <w:pPr>
              <w:jc w:val="center"/>
            </w:pPr>
            <w:r>
              <w:rPr>
                <w:rFonts w:ascii="Arial Narrow" w:hAnsi="Arial Narrow"/>
                <w:b/>
                <w:color w:val="063C33"/>
                <w:sz w:val="30"/>
              </w:rPr>
              <w:t>5</w:t>
            </w:r>
          </w:p>
        </w:tc>
        <w:tc>
          <w:tcPr>
            <w:tcW w:type="dxa" w:w="1700"/>
            <w:tcMar>
              <w:top w:w="110" w:type="dxa"/>
              <w:start w:w="140" w:type="dxa"/>
              <w:bottom w:w="110" w:type="dxa"/>
              <w:end w:w="140" w:type="dxa"/>
            </w:tcMar>
            <w:shd w:fill="063C33"/>
          </w:tcPr>
          <w:p>
            <w:r>
              <w:rPr>
                <w:rFonts w:ascii="Arial Narrow" w:hAnsi="Arial Narrow"/>
                <w:b/>
                <w:color w:val="FFFFFF"/>
                <w:sz w:val="19"/>
              </w:rPr>
              <w:t>DECISION</w:t>
            </w:r>
          </w:p>
        </w:tc>
        <w:tc>
          <w:tcPr>
            <w:tcW w:type="dxa" w:w="7480"/>
            <w:tcMar>
              <w:top w:w="110" w:type="dxa"/>
              <w:start w:w="140" w:type="dxa"/>
              <w:bottom w:w="110" w:type="dxa"/>
              <w:end w:w="140" w:type="dxa"/>
            </w:tcMar>
            <w:shd w:fill="F8FAF9"/>
          </w:tcPr>
          <w:p>
            <w:r>
              <w:rPr>
                <w:rFonts w:ascii="Arial" w:hAnsi="Arial"/>
                <w:color w:val="123A35"/>
                <w:sz w:val="20"/>
              </w:rPr>
              <w:t>Does the educator retain the decision, with high-impact uses prohibited or separately governed?</w:t>
            </w:r>
          </w:p>
        </w:tc>
      </w:tr>
    </w:tbl>
    <w:p>
      <w:pPr>
        <w:spacing w:after="0"/>
      </w:pPr>
    </w:p>
    <w:tbl>
      <w:tblPr>
        <w:tblW w:type="dxa" w:w="9880"/>
        <w:jc w:val="left"/>
        <w:tblLayout w:type="fixed"/>
        <w:tblLook w:firstColumn="1" w:firstRow="1" w:lastColumn="0" w:lastRow="0" w:noHBand="0" w:noVBand="1" w:val="04A0"/>
        <w:tblInd w:w="0" w:type="dxa"/>
      </w:tblPr>
      <w:tblGrid>
        <w:gridCol w:w="700"/>
        <w:gridCol w:w="1700"/>
        <w:gridCol w:w="7480"/>
      </w:tblGrid>
      <w:tr>
        <w:tc>
          <w:tcPr>
            <w:tcW w:type="dxa" w:w="700"/>
            <w:tcMar>
              <w:top w:w="110" w:type="dxa"/>
              <w:start w:w="140" w:type="dxa"/>
              <w:bottom w:w="110" w:type="dxa"/>
              <w:end w:w="140" w:type="dxa"/>
            </w:tcMar>
            <w:shd w:fill="F2B633"/>
          </w:tcPr>
          <w:p>
            <w:pPr>
              <w:jc w:val="center"/>
            </w:pPr>
            <w:r>
              <w:rPr>
                <w:rFonts w:ascii="Arial Narrow" w:hAnsi="Arial Narrow"/>
                <w:b/>
                <w:color w:val="063C33"/>
                <w:sz w:val="30"/>
              </w:rPr>
              <w:t>6</w:t>
            </w:r>
          </w:p>
        </w:tc>
        <w:tc>
          <w:tcPr>
            <w:tcW w:type="dxa" w:w="1700"/>
            <w:tcMar>
              <w:top w:w="110" w:type="dxa"/>
              <w:start w:w="140" w:type="dxa"/>
              <w:bottom w:w="110" w:type="dxa"/>
              <w:end w:w="140" w:type="dxa"/>
            </w:tcMar>
            <w:shd w:fill="063C33"/>
          </w:tcPr>
          <w:p>
            <w:r>
              <w:rPr>
                <w:rFonts w:ascii="Arial Narrow" w:hAnsi="Arial Narrow"/>
                <w:b/>
                <w:color w:val="FFFFFF"/>
                <w:sz w:val="19"/>
              </w:rPr>
              <w:t>REVIEW</w:t>
            </w:r>
          </w:p>
        </w:tc>
        <w:tc>
          <w:tcPr>
            <w:tcW w:type="dxa" w:w="7480"/>
            <w:tcMar>
              <w:top w:w="110" w:type="dxa"/>
              <w:start w:w="140" w:type="dxa"/>
              <w:bottom w:w="110" w:type="dxa"/>
              <w:end w:w="140" w:type="dxa"/>
            </w:tcMar>
            <w:shd w:fill="F8FAF9"/>
          </w:tcPr>
          <w:p>
            <w:r>
              <w:rPr>
                <w:rFonts w:ascii="Arial" w:hAnsi="Arial"/>
                <w:color w:val="123A35"/>
                <w:sz w:val="20"/>
              </w:rPr>
              <w:t>Are accuracy, bias, interpretation, documentation, retention, and escalation defined?</w:t>
            </w:r>
          </w:p>
        </w:tc>
      </w:tr>
    </w:tbl>
    <w:p>
      <w:pPr>
        <w:spacing w:after="0"/>
      </w:pPr>
    </w:p>
    <w:tbl>
      <w:tblPr>
        <w:tblW w:type="dxa" w:w="9880"/>
        <w:jc w:val="left"/>
        <w:tblLayout w:type="fixed"/>
        <w:tblLook w:firstColumn="1" w:firstRow="1" w:lastColumn="0" w:lastRow="0" w:noHBand="0" w:noVBand="1" w:val="04A0"/>
        <w:tblInd w:w="0" w:type="dxa"/>
      </w:tblPr>
      <w:tblGrid>
        <w:gridCol w:w="9880"/>
      </w:tblGrid>
      <w:tr>
        <w:trPr>
          <w:cantSplit/>
        </w:trPr>
        <w:tc>
          <w:tcPr>
            <w:tcW w:type="dxa" w:w="9880"/>
            <w:tcMar>
              <w:top w:w="110" w:type="dxa"/>
              <w:start w:w="140" w:type="dxa"/>
              <w:bottom w:w="110" w:type="dxa"/>
              <w:end w:w="140" w:type="dxa"/>
            </w:tcMar>
            <w:shd w:fill="FDEBE7"/>
          </w:tcPr>
          <w:p>
            <w:pPr>
              <w:spacing w:after="60"/>
            </w:pPr>
            <w:r>
              <w:rPr>
                <w:rFonts w:ascii="Arial Narrow" w:hAnsi="Arial Narrow"/>
                <w:b/>
                <w:color w:val="A13D2D"/>
                <w:sz w:val="19"/>
              </w:rPr>
              <w:t>IF ANY GATE IS UNKNOWN</w:t>
            </w:r>
          </w:p>
          <w:p>
            <w:pPr>
              <w:spacing w:after="0"/>
            </w:pPr>
            <w:r>
              <w:rPr>
                <w:rFonts w:ascii="Arial" w:hAnsi="Arial"/>
                <w:b w:val="0"/>
                <w:color w:val="123A35"/>
                <w:sz w:val="21"/>
              </w:rPr>
              <w:t>Do not enter live data. Continue with fictional material or paper planning. Record the question and route it to the named school owner.</w:t>
            </w:r>
          </w:p>
        </w:tc>
      </w:tr>
    </w:tbl>
    <w:p>
      <w:pPr>
        <w:spacing w:after="0"/>
      </w:pPr>
    </w:p>
    <w:p>
      <w:pPr>
        <w:pStyle w:val="Heading1"/>
      </w:pPr>
      <w:r>
        <w:t>Appendix B | Calm facilitator language</w:t>
      </w:r>
    </w:p>
    <w:p>
      <w:pPr>
        <w:pStyle w:val="Heading2"/>
      </w:pPr>
      <w:r>
        <w:t>Suggested responses</w:t>
      </w:r>
    </w:p>
    <w:p>
      <w:pPr>
        <w:pStyle w:val="Heading3"/>
      </w:pPr>
      <w:r>
        <w:t>I do not understand AI.</w:t>
      </w:r>
    </w:p>
    <w:p>
      <w:pPr>
        <w:ind w:left="259"/>
      </w:pPr>
      <w:r>
        <w:t>That is fine. You need one repeated task and your professional judgment. The structure does the rest.</w:t>
      </w:r>
    </w:p>
    <w:p>
      <w:pPr>
        <w:pStyle w:val="Heading3"/>
      </w:pPr>
      <w:r>
        <w:t>Can I remove the name and use it?</w:t>
      </w:r>
    </w:p>
    <w:p>
      <w:pPr>
        <w:ind w:left="259"/>
      </w:pPr>
      <w:r>
        <w:t>A name is only one identifier. For this lab, use fictional or student-neutral material. We can record the real workflow as a question for the school's data/privacy owner.</w:t>
      </w:r>
    </w:p>
    <w:p>
      <w:pPr>
        <w:pStyle w:val="Heading3"/>
      </w:pPr>
      <w:r>
        <w:t>But this is my own class.</w:t>
      </w:r>
    </w:p>
    <w:p>
      <w:pPr>
        <w:ind w:left="259"/>
      </w:pPr>
      <w:r>
        <w:t>Your instructional reason may be legitimate. The separate question is whether this AI product, account, feature, and data path are approved. We will not self-authorize that in this workshop.</w:t>
      </w:r>
    </w:p>
    <w:p>
      <w:pPr>
        <w:pStyle w:val="Heading3"/>
      </w:pPr>
      <w:r>
        <w:t>The vendor says it is compliant.</w:t>
      </w:r>
    </w:p>
    <w:p>
      <w:pPr>
        <w:ind w:left="259"/>
      </w:pPr>
      <w:r>
        <w:t>That may be useful information for the school review, but it does not replace the school's approval of the exact tool and use.</w:t>
      </w:r>
    </w:p>
    <w:p>
      <w:pPr>
        <w:pStyle w:val="Heading3"/>
      </w:pPr>
      <w:r>
        <w:t>Can it make groups for me?</w:t>
      </w:r>
    </w:p>
    <w:p>
      <w:pPr>
        <w:ind w:left="259"/>
      </w:pPr>
      <w:r>
        <w:t>It can help us examine a fictional workflow. Live grouping affects students and requires a separately governed process with educator ownership.</w:t>
      </w:r>
    </w:p>
    <w:p>
      <w:pPr>
        <w:pStyle w:val="Heading3"/>
      </w:pPr>
      <w:r>
        <w:t>What if the approved tool is unavailable?</w:t>
      </w:r>
    </w:p>
    <w:p>
      <w:pPr>
        <w:ind w:left="259"/>
      </w:pPr>
      <w:r>
        <w:t>We stay in paper/demo mode. You can finish the blueprint without creating a workaround account.</w:t>
      </w:r>
    </w:p>
    <w:p>
      <w:pPr>
        <w:pStyle w:val="Heading3"/>
      </w:pPr>
      <w:r>
        <w:t>What if it takes longer than doing it myself?</w:t>
      </w:r>
    </w:p>
    <w:p>
      <w:pPr>
        <w:ind w:left="259"/>
      </w:pPr>
      <w:r>
        <w:t>Then revise once or stop. The point is recovered time, not AI use for its own sake.</w:t>
      </w:r>
    </w:p>
    <w:p>
      <w:pPr>
        <w:pStyle w:val="Heading1"/>
      </w:pPr>
      <w:r>
        <w:t>Appendix C | Official sources</w:t>
      </w:r>
    </w:p>
    <w:p>
      <w:r>
        <w:t>Last verified August 30, 2026. Local policy, contracts, platform capabilities, and official guidance can change. Recheck before each advanced-data engagement.</w:t>
      </w:r>
    </w:p>
    <w:p>
      <w:pPr>
        <w:pStyle w:val="ListBullet"/>
      </w:pPr>
      <w:hyperlink r:id="rId11">
        <w:r>
          <w:rPr>
            <w:rFonts w:ascii="Arial" w:hAnsi="Arial"/>
            <w:color w:val="008C84"/>
            <w:u w:val="single"/>
          </w:rPr>
          <w:t>U.S. Department of Education: Personally Identifiable Information for Education Records</w:t>
        </w:r>
      </w:hyperlink>
    </w:p>
    <w:p>
      <w:pPr>
        <w:pStyle w:val="ListBullet"/>
      </w:pPr>
      <w:hyperlink r:id="rId13">
        <w:r>
          <w:rPr>
            <w:rFonts w:ascii="Arial" w:hAnsi="Arial"/>
            <w:color w:val="008C84"/>
            <w:u w:val="single"/>
          </w:rPr>
          <w:t>U.S. Department of Education: What Constitutes De-identified Records and Information?</w:t>
        </w:r>
      </w:hyperlink>
    </w:p>
    <w:p>
      <w:pPr>
        <w:pStyle w:val="ListBullet"/>
      </w:pPr>
      <w:hyperlink r:id="rId14">
        <w:r>
          <w:rPr>
            <w:rFonts w:ascii="Arial" w:hAnsi="Arial"/>
            <w:color w:val="008C84"/>
            <w:u w:val="single"/>
          </w:rPr>
          <w:t>U.S. Department of Education: FERPA Regulations</w:t>
        </w:r>
      </w:hyperlink>
    </w:p>
    <w:p>
      <w:pPr>
        <w:pStyle w:val="ListBullet"/>
      </w:pPr>
      <w:hyperlink r:id="rId16">
        <w:r>
          <w:rPr>
            <w:rFonts w:ascii="Arial" w:hAnsi="Arial"/>
            <w:color w:val="008C84"/>
            <w:u w:val="single"/>
          </w:rPr>
          <w:t>New York State Education Department: Education Law Section 2-d Resources</w:t>
        </w:r>
      </w:hyperlink>
    </w:p>
    <w:p>
      <w:pPr>
        <w:pStyle w:val="ListBullet"/>
      </w:pPr>
      <w:hyperlink r:id="rId15">
        <w:r>
          <w:rPr>
            <w:rFonts w:ascii="Arial" w:hAnsi="Arial"/>
            <w:color w:val="008C84"/>
            <w:u w:val="single"/>
          </w:rPr>
          <w:t>New York City Public Schools: Guidance on Artificial Intelligence</w:t>
        </w:r>
      </w:hyperlink>
    </w:p>
    <w:p>
      <w:pPr>
        <w:pStyle w:val="ListBullet"/>
      </w:pPr>
      <w:hyperlink r:id="rId12">
        <w:r>
          <w:rPr>
            <w:rFonts w:ascii="Arial" w:hAnsi="Arial"/>
            <w:color w:val="008C84"/>
            <w:u w:val="single"/>
          </w:rPr>
          <w:t>New York City Public Schools: AI Tool Evaluation and ERMA</w:t>
        </w:r>
      </w:hyperlink>
    </w:p>
    <w:p/>
    <w:tbl>
      <w:tblPr>
        <w:tblW w:type="dxa" w:w="9880"/>
        <w:jc w:val="left"/>
        <w:tblLayout w:type="fixed"/>
        <w:tblLook w:firstColumn="1" w:firstRow="1" w:lastColumn="0" w:lastRow="0" w:noHBand="0" w:noVBand="1" w:val="04A0"/>
        <w:tblInd w:w="0" w:type="dxa"/>
      </w:tblPr>
      <w:tblGrid>
        <w:gridCol w:w="9880"/>
      </w:tblGrid>
      <w:tr>
        <w:trPr>
          <w:cantSplit/>
        </w:trPr>
        <w:tc>
          <w:tcPr>
            <w:tcW w:type="dxa" w:w="9880"/>
            <w:tcMar>
              <w:top w:w="110" w:type="dxa"/>
              <w:start w:w="140" w:type="dxa"/>
              <w:bottom w:w="110" w:type="dxa"/>
              <w:end w:w="140" w:type="dxa"/>
            </w:tcMar>
            <w:shd w:fill="063C33"/>
          </w:tcPr>
          <w:p>
            <w:pPr>
              <w:spacing w:after="60"/>
            </w:pPr>
            <w:r>
              <w:rPr>
                <w:rFonts w:ascii="Arial Narrow" w:hAnsi="Arial Narrow"/>
                <w:b/>
                <w:color w:val="59DDD0"/>
                <w:sz w:val="19"/>
              </w:rPr>
              <w:t>FINAL REMINDER</w:t>
            </w:r>
          </w:p>
          <w:p>
            <w:pPr>
              <w:spacing w:after="0"/>
            </w:pPr>
            <w:r>
              <w:rPr>
                <w:rFonts w:ascii="Arial" w:hAnsi="Arial"/>
                <w:b w:val="0"/>
                <w:color w:val="FFFFFF"/>
                <w:sz w:val="21"/>
              </w:rPr>
              <w:t>Andrew teaches the build method. School leaders name the approved environment. Qualified specialists resolve regulated questions. Teachers retain professional judgment and every final decision.</w:t>
            </w:r>
          </w:p>
        </w:tc>
      </w:tr>
    </w:tbl>
    <w:p>
      <w:pPr>
        <w:spacing w:after="0"/>
      </w:pPr>
    </w:p>
    <w:sectPr w:rsidR="00FC693F" w:rsidRPr="0006063C" w:rsidSect="00034616">
      <w:headerReference w:type="default" r:id="rId9"/>
      <w:footerReference w:type="default" r:id="rId10"/>
      <w:pgSz w:w="12240" w:h="15840"/>
      <w:pgMar w:top="1123"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dxa" w:w="9880"/>
      <w:jc w:val="left"/>
      <w:tblLayout w:type="fixed"/>
      <w:tblLook w:firstColumn="1" w:firstRow="1" w:lastColumn="0" w:lastRow="0" w:noHBand="0" w:noVBand="1" w:val="04A0"/>
      <w:tblInd w:w="0" w:type="dxa"/>
    </w:tblPr>
    <w:tblGrid>
      <w:gridCol w:w="7000"/>
      <w:gridCol w:w="2880"/>
    </w:tblGrid>
    <w:tr>
      <w:tc>
        <w:tcPr>
          <w:tcW w:type="dxa" w:w="7000"/>
          <w:tcMar>
            <w:top w:w="110" w:type="dxa"/>
            <w:start w:w="140" w:type="dxa"/>
            <w:bottom w:w="110" w:type="dxa"/>
            <w:end w:w="140" w:type="dxa"/>
          </w:tcMar>
        </w:tcPr>
        <w:p>
          <w:r>
            <w:rPr>
              <w:rFonts w:ascii="Arial" w:hAnsi="Arial"/>
              <w:color w:val="4F6B67"/>
              <w:sz w:val="17"/>
            </w:rPr>
            <w:t>Andrew Wolverton  |  Human-led AI workflow design</w:t>
          </w:r>
        </w:p>
      </w:tc>
      <w:tc>
        <w:tcPr>
          <w:tcW w:type="dxa" w:w="2880"/>
          <w:tcMar>
            <w:top w:w="110" w:type="dxa"/>
            <w:start w:w="140" w:type="dxa"/>
            <w:bottom w:w="110" w:type="dxa"/>
            <w:end w:w="140" w:type="dxa"/>
          </w:tcMar>
        </w:tcPr>
        <w:p>
          <w:pPr>
            <w:jc w:val="right"/>
          </w:pPr>
          <w:r>
            <w:rPr>
              <w:rFonts w:ascii="Arial" w:hAnsi="Arial"/>
              <w:color w:val="4F6B67"/>
              <w:sz w:val="17"/>
            </w:rPr>
            <w:fldChar w:fldCharType="begin"/>
            <w:instrText xml:space="preserve">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Narrow" w:hAnsi="Arial Narrow"/>
        <w:b/>
        <w:color w:val="008C84"/>
        <w:sz w:val="17"/>
      </w:rPr>
      <w:t>TEACHER TIME-BACK LAB  |  FACILITATOR PLAYBOOK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1" w:lineRule="auto"/>
    </w:pPr>
    <w:rPr>
      <w:rFonts w:ascii="Arial" w:hAnsi="Arial"/>
      <w:color w:val="123A3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Narrow" w:hAnsi="Arial Narrow"/>
      <w:b/>
      <w:bCs/>
      <w:color w:val="063C33"/>
      <w:sz w:val="38"/>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rial Narrow" w:hAnsi="Arial Narrow"/>
      <w:b/>
      <w:bCs/>
      <w:color w:val="008C84"/>
      <w:sz w:val="29"/>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Narrow" w:hAnsi="Arial Narrow"/>
      <w:b/>
      <w:bCs/>
      <w:color w:val="063C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Narrow" w:hAnsi="Arial Narrow"/>
      <w:b/>
      <w:color w:val="063C33"/>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Arial" w:hAnsi="Arial"/>
      <w:b w:val="0"/>
      <w:i/>
      <w:iCs/>
      <w:color w:val="4F6B67"/>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1" w:lineRule="auto"/>
      <w:ind w:left="547" w:hanging="274"/>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1" w:lineRule="auto"/>
      <w:ind w:left="547" w:hanging="274"/>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tudentprivacy.ed.gov/content/personally-identifiable-information-education-records" TargetMode="External"/><Relationship Id="rId12" Type="http://schemas.openxmlformats.org/officeDocument/2006/relationships/hyperlink" Target="https://www.schools.nyc.gov/about-us/vision-and-mission/artificial-intelligence/guidance-on-artificial-intelligence" TargetMode="External"/><Relationship Id="rId13" Type="http://schemas.openxmlformats.org/officeDocument/2006/relationships/hyperlink" Target="https://studentprivacy.ed.gov/faq/what-constitutes-de-identified-records-and-information" TargetMode="External"/><Relationship Id="rId14" Type="http://schemas.openxmlformats.org/officeDocument/2006/relationships/hyperlink" Target="https://studentprivacy.ed.gov/ferpa" TargetMode="External"/><Relationship Id="rId15" Type="http://schemas.openxmlformats.org/officeDocument/2006/relationships/hyperlink" Target="https://www.schools.nyc.gov/about-us/vision-and-mission/artificial-intelligence/guidance-on-artificial-intelligence-full" TargetMode="External"/><Relationship Id="rId16" Type="http://schemas.openxmlformats.org/officeDocument/2006/relationships/hyperlink" Target="https://www.nysed.gov/data-privacy-security/parents-and-students" TargetMode="External"/><Relationship Id="rId17" Type="http://schemas.openxmlformats.org/officeDocument/2006/relationships/hyperlink" Target="https://studentprivacy.ed.gov/sites/default/files/resource_document/file/FERPA%20Guidance%20for%20School%20Officials%20on%20Student%20Health%20Record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