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312"/>
        <w:rPr/>
      </w:pPr>
      <w:r>
        <w:rPr/>
        <w:t>BẢNG THEO DÕI SỬA ĐỔI TÀI LIỆU</w:t>
      </w:r>
    </w:p>
    <w:tbl>
      <w:tblPr>
        <w:tblW w:w="9639" w:type="dxa"/>
        <w:jc w:val="start"/>
        <w:tblInd w:w="108" w:type="dxa"/>
        <w:tblLayout w:type="fixed"/>
        <w:tblCellMar>
          <w:top w:w="0" w:type="dxa"/>
          <w:start w:w="108" w:type="dxa"/>
          <w:bottom w:w="0" w:type="dxa"/>
          <w:end w:w="108" w:type="dxa"/>
        </w:tblCellMar>
      </w:tblPr>
      <w:tblGrid>
        <w:gridCol w:w="1047"/>
        <w:gridCol w:w="3773"/>
        <w:gridCol w:w="1417"/>
        <w:gridCol w:w="1701"/>
        <w:gridCol w:w="1701"/>
      </w:tblGrid>
      <w:tr>
        <w:trPr/>
        <w:tc>
          <w:tcPr>
            <w:tcW w:w="1047" w:type="dxa"/>
            <w:tcBorders>
              <w:top w:val="single" w:sz="4" w:space="0" w:color="000000"/>
              <w:start w:val="single" w:sz="4" w:space="0" w:color="000000"/>
              <w:bottom w:val="single" w:sz="4" w:space="0" w:color="000000"/>
              <w:end w:val="single" w:sz="4" w:space="0" w:color="000000"/>
            </w:tcBorders>
            <w:vAlign w:val="center"/>
          </w:tcPr>
          <w:p>
            <w:pPr>
              <w:pStyle w:val="Subtitle"/>
              <w:spacing w:lineRule="auto" w:line="312"/>
              <w:jc w:val="center"/>
              <w:rPr>
                <w:rFonts w:ascii="Times New Roman" w:hAnsi="Times New Roman" w:cs="Times New Roman"/>
                <w:b w:val="false"/>
                <w:color w:val="000000"/>
                <w:sz w:val="26"/>
                <w:szCs w:val="26"/>
                <w:lang w:val="en-US"/>
              </w:rPr>
            </w:pPr>
            <w:r>
              <w:rPr>
                <w:rFonts w:cs="Times New Roman" w:ascii="Times New Roman" w:hAnsi="Times New Roman"/>
                <w:b w:val="false"/>
                <w:color w:val="000000"/>
                <w:sz w:val="26"/>
                <w:szCs w:val="26"/>
                <w:lang w:val="en-US"/>
              </w:rPr>
              <w:t>Ký hiệu</w:t>
            </w:r>
          </w:p>
        </w:tc>
        <w:tc>
          <w:tcPr>
            <w:tcW w:w="3773" w:type="dxa"/>
            <w:tcBorders>
              <w:top w:val="single" w:sz="4" w:space="0" w:color="000000"/>
              <w:start w:val="single" w:sz="4" w:space="0" w:color="000000"/>
              <w:bottom w:val="single" w:sz="4" w:space="0" w:color="000000"/>
              <w:end w:val="single" w:sz="4" w:space="0" w:color="000000"/>
            </w:tcBorders>
            <w:vAlign w:val="center"/>
          </w:tcPr>
          <w:p>
            <w:pPr>
              <w:pStyle w:val="Heading1"/>
              <w:spacing w:lineRule="auto" w:line="312"/>
              <w:ind w:hanging="0" w:start="0"/>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t>Tóm tắt nội dung sửa đổi</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pPr>
            <w:r>
              <w:rPr>
                <w:rFonts w:cs="Times New Roman" w:ascii="Times New Roman" w:hAnsi="Times New Roman"/>
                <w:b w:val="false"/>
                <w:bCs w:val="false"/>
                <w:color w:val="000000"/>
                <w:sz w:val="26"/>
                <w:szCs w:val="26"/>
              </w:rPr>
              <w:t>Lần sửa đổi</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t xml:space="preserve">Trang </w:t>
            </w:r>
          </w:p>
          <w:p>
            <w:pPr>
              <w:pStyle w:val="Normal"/>
              <w:spacing w:lineRule="auto" w:line="312"/>
              <w:jc w:val="center"/>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t>sửa đổi</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t>Ngày</w:t>
            </w:r>
          </w:p>
          <w:p>
            <w:pPr>
              <w:pStyle w:val="Normal"/>
              <w:spacing w:lineRule="auto" w:line="312"/>
              <w:jc w:val="center"/>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t>sửa đổi</w:t>
            </w:r>
          </w:p>
        </w:tc>
      </w:tr>
      <w:tr>
        <w:trPr/>
        <w:tc>
          <w:tcPr>
            <w:tcW w:w="1047"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r>
          </w:p>
        </w:tc>
        <w:tc>
          <w:tcPr>
            <w:tcW w:w="3773"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Thêm công đoạn ủ (sau trộn)  </w:t>
            </w:r>
          </w:p>
        </w:tc>
        <w:tc>
          <w:tcPr>
            <w:tcW w:w="1417"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12,16</w:t>
            </w:r>
          </w:p>
        </w:tc>
        <w:tc>
          <w:tcPr>
            <w:tcW w:w="1701"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22/10/2020</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Phân tích mối nguy công đoạn ủ (sau trộn)</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12,16</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22/10/2020</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Bỏ điểm kiểm soát tới hạn CCP</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16</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1/11/2020</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Bổ sung rõ phạm vi áp dụng </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15/11/2020</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Cập nhật thời hạn sử dụng</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3</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2/6/2021</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Cập nhật một số thay đổi trong quy trình chế biến do áp dụng máy móc mới. </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14</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25/7/2024</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Cập nhật tiêu chuẩn nguồn nước</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5</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1/1/2025</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r/>
          </w:p>
        </w:tc>
        <w:tc>
          <w:tcPr>
            <w:tcW w:w="3773" w:type="dxa"/>
            <w:tcBorders>
              <w:top w:val="dotted" w:sz="4" w:space="0" w:color="000000"/>
              <w:start w:val="single" w:sz="4" w:space="0" w:color="000000"/>
              <w:bottom w:val="dotted"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417" w:type="dxa"/>
            <w:tcBorders>
              <w:top w:val="dotted" w:sz="4" w:space="0" w:color="000000"/>
              <w:start w:val="single" w:sz="4" w:space="0" w:color="000000"/>
              <w:bottom w:val="dotted" w:sz="4" w:space="0" w:color="000000"/>
              <w:end w:val="single" w:sz="4" w:space="0" w:color="000000"/>
            </w:tcBorders>
            <w:vAlign w:val="center"/>
          </w:tcPr>
          <w:p>
            <w:r>
              <w:t>8</w:t>
            </w:r>
          </w:p>
        </w:tc>
        <w:tc>
          <w:tcPr>
            <w:tcW w:w="1701" w:type="dxa"/>
            <w:tcBorders>
              <w:top w:val="dotted" w:sz="4" w:space="0" w:color="000000"/>
              <w:start w:val="single" w:sz="4" w:space="0" w:color="000000"/>
              <w:bottom w:val="dotted" w:sz="4" w:space="0" w:color="000000"/>
              <w:end w:val="single" w:sz="4" w:space="0" w:color="000000"/>
            </w:tcBorders>
            <w:vAlign w:val="center"/>
          </w:tcPr>
          <w:p>
            <w:r>
              <w:t>-</w:t>
            </w:r>
          </w:p>
        </w:tc>
        <w:tc>
          <w:tcPr>
            <w:tcW w:w="1701" w:type="dxa"/>
            <w:tcBorders>
              <w:top w:val="dotted" w:sz="4" w:space="0" w:color="000000"/>
              <w:start w:val="single" w:sz="4" w:space="0" w:color="000000"/>
              <w:bottom w:val="dotted" w:sz="4" w:space="0" w:color="000000"/>
              <w:end w:val="single" w:sz="4" w:space="0" w:color="000000"/>
            </w:tcBorders>
            <w:vAlign w:val="center"/>
          </w:tcPr>
          <w:p>
            <w:r>
              <w:t>13/06/2026</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Bổ sung công đoạn Rửa đỗ (trước luộc) vào phân tích mối nguy</w:t>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9</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13/06/2026</w:t>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047"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73"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417"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bl>
    <w:p>
      <w:pPr>
        <w:pStyle w:val="Normal"/>
        <w:spacing w:lineRule="auto" w:line="288" w:before="96" w:after="0"/>
        <w:jc w:val="both"/>
        <w:rPr>
          <w:rFonts w:ascii="Times New Roman" w:hAnsi="Times New Roman" w:cs="Times New Roman"/>
          <w:b w:val="false"/>
          <w:bCs w:val="false"/>
          <w:color w:val="000000"/>
          <w:sz w:val="26"/>
          <w:szCs w:val="26"/>
        </w:rPr>
      </w:pPr>
      <w:r>
        <w:rPr>
          <w:rFonts w:cs="Times New Roman" w:ascii="Times New Roman" w:hAnsi="Times New Roman"/>
          <w:b w:val="false"/>
          <w:bCs w:val="false"/>
          <w:color w:val="000000"/>
          <w:sz w:val="26"/>
          <w:szCs w:val="26"/>
        </w:rPr>
      </w:r>
    </w:p>
    <w:tbl>
      <w:tblPr>
        <w:tblW w:w="9639" w:type="dxa"/>
        <w:jc w:val="start"/>
        <w:tblInd w:w="108" w:type="dxa"/>
        <w:tblLayout w:type="fixed"/>
        <w:tblCellMar>
          <w:top w:w="0" w:type="dxa"/>
          <w:start w:w="108" w:type="dxa"/>
          <w:bottom w:w="0" w:type="dxa"/>
          <w:end w:w="108" w:type="dxa"/>
        </w:tblCellMar>
      </w:tblPr>
      <w:tblGrid>
        <w:gridCol w:w="4962"/>
        <w:gridCol w:w="4677"/>
      </w:tblGrid>
      <w:tr>
        <w:trPr/>
        <w:tc>
          <w:tcPr>
            <w:tcW w:w="4962" w:type="dxa"/>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t>Người soạn thảo</w:t>
            </w:r>
          </w:p>
        </w:tc>
        <w:tc>
          <w:tcPr>
            <w:tcW w:w="4677" w:type="dxa"/>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t>Phê duyệt</w:t>
            </w:r>
          </w:p>
        </w:tc>
      </w:tr>
      <w:tr>
        <w:trPr/>
        <w:tc>
          <w:tcPr>
            <w:tcW w:w="4962"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tc>
        <w:tc>
          <w:tcPr>
            <w:tcW w:w="4677"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p>
            <w:pPr>
              <w:pStyle w:val="Footer"/>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r>
          </w:p>
        </w:tc>
      </w:tr>
      <w:tr>
        <w:trPr/>
        <w:tc>
          <w:tcPr>
            <w:tcW w:w="4962" w:type="dxa"/>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t>Nguyễn Huy Chiến</w:t>
            </w:r>
          </w:p>
        </w:tc>
        <w:tc>
          <w:tcPr>
            <w:tcW w:w="4677" w:type="dxa"/>
            <w:tcBorders>
              <w:top w:val="single" w:sz="4" w:space="0" w:color="000000"/>
              <w:start w:val="single" w:sz="4" w:space="0" w:color="000000"/>
              <w:bottom w:val="single" w:sz="4" w:space="0" w:color="000000"/>
              <w:end w:val="single" w:sz="4" w:space="0" w:color="000000"/>
            </w:tcBorders>
          </w:tcPr>
          <w:p>
            <w:pPr>
              <w:pStyle w:val="Footer"/>
              <w:spacing w:before="120" w:after="120"/>
              <w:jc w:val="center"/>
              <w:rPr>
                <w:rFonts w:ascii="Times New Roman" w:hAnsi="Times New Roman" w:cs="Times New Roman"/>
                <w:color w:val="000000"/>
                <w:sz w:val="26"/>
                <w:szCs w:val="26"/>
                <w:lang w:val="en-US"/>
              </w:rPr>
            </w:pPr>
            <w:r>
              <w:rPr>
                <w:rFonts w:cs="Times New Roman" w:ascii="Times New Roman" w:hAnsi="Times New Roman"/>
                <w:color w:val="000000"/>
                <w:sz w:val="26"/>
                <w:szCs w:val="26"/>
                <w:lang w:val="en-US"/>
              </w:rPr>
              <w:t>Đào Văn Tiến</w:t>
            </w:r>
          </w:p>
        </w:tc>
      </w:tr>
    </w:tbl>
    <w:p>
      <w:pPr>
        <w:pStyle w:val="Header"/>
        <w:numPr>
          <w:ilvl w:val="0"/>
          <w:numId w:val="3"/>
        </w:numPr>
        <w:tabs>
          <w:tab w:val="clear" w:pos="4320"/>
          <w:tab w:val="clear" w:pos="8640"/>
        </w:tabs>
        <w:spacing w:lineRule="auto" w:line="312"/>
        <w:jc w:val="both"/>
        <w:rPr>
          <w:rFonts w:ascii="Times New Roman" w:hAnsi="Times New Roman" w:cs="Times New Roman"/>
          <w:color w:val="000000"/>
          <w:sz w:val="26"/>
          <w:szCs w:val="26"/>
          <w:lang w:val="nl-NL"/>
        </w:rPr>
      </w:pPr>
      <w:r>
        <w:br w:type="page"/>
      </w:r>
      <w:r>
        <w:rPr>
          <w:rFonts w:cs="Times New Roman" w:ascii="Times New Roman" w:hAnsi="Times New Roman"/>
          <w:color w:val="000000"/>
          <w:sz w:val="26"/>
          <w:szCs w:val="26"/>
          <w:lang w:val="nl-NL"/>
        </w:rPr>
        <w:t>MỤC ĐÍCH:</w:t>
      </w:r>
    </w:p>
    <w:p>
      <w:pPr>
        <w:pStyle w:val="Header"/>
        <w:tabs>
          <w:tab w:val="clear" w:pos="4320"/>
          <w:tab w:val="clear" w:pos="8640"/>
        </w:tabs>
        <w:spacing w:lineRule="auto" w:line="312"/>
        <w:ind w:firstLine="360" w:end="0"/>
        <w:jc w:val="both"/>
        <w:rPr>
          <w:rFonts w:ascii="Times New Roman" w:hAnsi="Times New Roman" w:cs="Times New Roman"/>
          <w:b w:val="false"/>
          <w:bCs w:val="false"/>
          <w:color w:val="000000"/>
          <w:sz w:val="26"/>
          <w:szCs w:val="26"/>
          <w:lang w:val="nl-NL"/>
        </w:rPr>
      </w:pPr>
      <w:r>
        <w:rPr>
          <w:rFonts w:cs="Times New Roman" w:ascii="Times New Roman" w:hAnsi="Times New Roman"/>
          <w:b w:val="false"/>
          <w:bCs w:val="false"/>
          <w:color w:val="000000"/>
          <w:sz w:val="26"/>
          <w:szCs w:val="26"/>
          <w:lang w:val="nl-NL"/>
        </w:rPr>
        <w:t>Quy định trình tự, trách nhiệm và cách thức kiểm soát các mối nguy liên quan đến quá trình sản xuất Bánh đậu xanh mang thương hiệu RỒNG VÀNG HOÀNG GIA của Công ty cổ phần Hoàng Giang.</w:t>
      </w:r>
    </w:p>
    <w:p>
      <w:pPr>
        <w:pStyle w:val="Header"/>
        <w:tabs>
          <w:tab w:val="clear" w:pos="4320"/>
          <w:tab w:val="clear" w:pos="8640"/>
        </w:tabs>
        <w:spacing w:lineRule="auto" w:line="312"/>
        <w:ind w:firstLine="360" w:end="0"/>
        <w:jc w:val="both"/>
        <w:rPr>
          <w:rFonts w:ascii="Times New Roman" w:hAnsi="Times New Roman" w:cs="Times New Roman"/>
          <w:b w:val="false"/>
          <w:bCs w:val="false"/>
          <w:color w:val="000000"/>
          <w:sz w:val="26"/>
          <w:szCs w:val="26"/>
          <w:lang w:val="nl-NL"/>
        </w:rPr>
      </w:pPr>
      <w:r>
        <w:rPr>
          <w:rFonts w:cs="Times New Roman" w:ascii="Times New Roman" w:hAnsi="Times New Roman"/>
          <w:b w:val="false"/>
          <w:bCs w:val="false"/>
          <w:color w:val="000000"/>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PHẠM VI ÁP DỤNG:</w:t>
      </w:r>
    </w:p>
    <w:p>
      <w:pPr>
        <w:pStyle w:val="Header"/>
        <w:tabs>
          <w:tab w:val="clear" w:pos="4320"/>
          <w:tab w:val="clear" w:pos="8640"/>
        </w:tabs>
        <w:spacing w:lineRule="auto" w:line="312"/>
        <w:ind w:firstLine="360" w:end="0"/>
        <w:jc w:val="both"/>
        <w:rPr/>
      </w:pPr>
      <w:r>
        <w:rPr>
          <w:rFonts w:cs="Times New Roman" w:ascii="Times New Roman" w:hAnsi="Times New Roman"/>
          <w:b w:val="false"/>
          <w:color w:val="000000"/>
          <w:sz w:val="26"/>
          <w:szCs w:val="26"/>
          <w:lang w:val="nl-NL"/>
        </w:rPr>
        <w:t xml:space="preserve">Kế hoạch HACCP này áp dụng cho các sản phẩm </w:t>
      </w:r>
      <w:r>
        <w:rPr>
          <w:rFonts w:cs="Times New Roman" w:ascii="Times New Roman" w:hAnsi="Times New Roman"/>
          <w:b w:val="false"/>
          <w:bCs w:val="false"/>
          <w:color w:val="000000"/>
          <w:sz w:val="26"/>
          <w:szCs w:val="26"/>
          <w:lang w:val="nl-NL"/>
        </w:rPr>
        <w:t>Bánh đậu xanh mang thương hiệu RỒNG VÀNG HOÀNG GIA (bao gồm bánh đậu xanh, bánh đậu trà xanh, bánh đậu sầu riêng, bánh đậu xanh hương vị trái cây, bánh đậu xanh hương vị dừa, bánh đậu xanh hương vị sen, bánh đậu xanh hương vị khoai môn, bánh đậu xanh hương vị cốm) của Công ty cổ phần Hoàng Giang.</w:t>
      </w:r>
    </w:p>
    <w:p>
      <w:pPr>
        <w:pStyle w:val="Header"/>
        <w:tabs>
          <w:tab w:val="clear" w:pos="4320"/>
          <w:tab w:val="clear" w:pos="8640"/>
        </w:tabs>
        <w:spacing w:lineRule="auto" w:line="312"/>
        <w:ind w:firstLine="360" w:end="0"/>
        <w:jc w:val="both"/>
        <w:rPr>
          <w:rFonts w:ascii="Times New Roman" w:hAnsi="Times New Roman" w:cs="Times New Roman"/>
          <w:b w:val="false"/>
          <w:bCs w:val="false"/>
          <w:color w:val="000000"/>
          <w:sz w:val="26"/>
          <w:szCs w:val="26"/>
          <w:lang w:val="nl-NL"/>
        </w:rPr>
      </w:pPr>
      <w:r>
        <w:rPr>
          <w:rFonts w:cs="Times New Roman" w:ascii="Times New Roman" w:hAnsi="Times New Roman"/>
          <w:b w:val="false"/>
          <w:bCs w:val="false"/>
          <w:color w:val="000000"/>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TÀI LIỆU THAM KHẢO:</w:t>
      </w:r>
    </w:p>
    <w:p>
      <w:pPr>
        <w:pStyle w:val="Header"/>
        <w:tabs>
          <w:tab w:val="clear" w:pos="4320"/>
          <w:tab w:val="clear" w:pos="8640"/>
        </w:tabs>
        <w:spacing w:lineRule="auto" w:line="312"/>
        <w:ind w:firstLine="360" w:end="0"/>
        <w:jc w:val="both"/>
        <w:rPr/>
      </w:pPr>
      <w:r>
        <w:rPr>
          <w:rFonts w:cs="Times New Roman" w:ascii="Times New Roman" w:hAnsi="Times New Roman"/>
          <w:b w:val="false"/>
          <w:color w:val="000000"/>
          <w:sz w:val="26"/>
          <w:szCs w:val="26"/>
          <w:lang w:val="nl-NL"/>
        </w:rPr>
        <w:t>- Tiêu chuẩn ISO 22000:2018 Hệ thống quản lý an toàn thực phẩm – Các yêu cầu.</w:t>
      </w:r>
    </w:p>
    <w:p>
      <w:pPr>
        <w:pStyle w:val="Header"/>
        <w:tabs>
          <w:tab w:val="clear" w:pos="4320"/>
          <w:tab w:val="clear" w:pos="8640"/>
        </w:tabs>
        <w:spacing w:lineRule="auto" w:line="312"/>
        <w:ind w:firstLine="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Tiêu chuẩn 5603:2008 Quy phạm thực hành đối về các nguyên tắc chung đối với an toàn vệ sinh thực phẩm.</w:t>
      </w:r>
    </w:p>
    <w:p>
      <w:pPr>
        <w:pStyle w:val="Header"/>
        <w:tabs>
          <w:tab w:val="clear" w:pos="4320"/>
          <w:tab w:val="clear" w:pos="8640"/>
        </w:tabs>
        <w:spacing w:lineRule="auto" w:line="312"/>
        <w:ind w:firstLine="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ĐỊNH NGHĨA VÀ TỪ VIẾT TẮT:</w:t>
      </w:r>
    </w:p>
    <w:p>
      <w:pPr>
        <w:pStyle w:val="Header"/>
        <w:tabs>
          <w:tab w:val="clear" w:pos="4320"/>
          <w:tab w:val="clear" w:pos="8640"/>
        </w:tabs>
        <w:spacing w:lineRule="auto" w:line="312"/>
        <w:ind w:start="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ATTP: An toàn thực phẩm</w:t>
      </w:r>
    </w:p>
    <w:p>
      <w:pPr>
        <w:pStyle w:val="Header"/>
        <w:tabs>
          <w:tab w:val="clear" w:pos="4320"/>
          <w:tab w:val="clear" w:pos="8640"/>
        </w:tabs>
        <w:spacing w:lineRule="auto" w:line="312"/>
        <w:ind w:start="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CQ: Chứng chỉ chất lượng</w:t>
      </w:r>
    </w:p>
    <w:p>
      <w:pPr>
        <w:pStyle w:val="Header"/>
        <w:tabs>
          <w:tab w:val="clear" w:pos="4320"/>
          <w:tab w:val="clear" w:pos="8640"/>
        </w:tabs>
        <w:spacing w:lineRule="auto" w:line="312"/>
        <w:ind w:start="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VSV: Vi sinh vật</w:t>
      </w:r>
    </w:p>
    <w:p>
      <w:pPr>
        <w:pStyle w:val="Header"/>
        <w:tabs>
          <w:tab w:val="clear" w:pos="4320"/>
          <w:tab w:val="clear" w:pos="8640"/>
        </w:tabs>
        <w:spacing w:lineRule="auto" w:line="312"/>
        <w:ind w:start="360"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r>
    </w:p>
    <w:p>
      <w:pPr>
        <w:pStyle w:val="Header"/>
        <w:numPr>
          <w:ilvl w:val="0"/>
          <w:numId w:val="3"/>
        </w:numPr>
        <w:tabs>
          <w:tab w:val="clear" w:pos="4320"/>
          <w:tab w:val="clear" w:pos="8640"/>
        </w:tabs>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NỘI DUNG:</w:t>
      </w:r>
    </w:p>
    <w:p>
      <w:pPr>
        <w:pStyle w:val="Header"/>
        <w:tabs>
          <w:tab w:val="clear" w:pos="4320"/>
          <w:tab w:val="clear" w:pos="8640"/>
        </w:tabs>
        <w:spacing w:lineRule="auto" w:line="312"/>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5.1 Mô tả nguyên liệu</w:t>
      </w:r>
    </w:p>
    <w:tbl>
      <w:tblPr>
        <w:tblpPr w:vertAnchor="text" w:horzAnchor="margin" w:tblpXSpec="center" w:leftFromText="180" w:rightFromText="180" w:tblpY="316"/>
        <w:tblW w:w="9931" w:type="dxa"/>
        <w:jc w:val="start"/>
        <w:tblInd w:w="108" w:type="dxa"/>
        <w:tblLayout w:type="fixed"/>
        <w:tblCellMar>
          <w:top w:w="0" w:type="dxa"/>
          <w:start w:w="108" w:type="dxa"/>
          <w:bottom w:w="0" w:type="dxa"/>
          <w:end w:w="108" w:type="dxa"/>
        </w:tblCellMar>
      </w:tblPr>
      <w:tblGrid>
        <w:gridCol w:w="2716"/>
        <w:gridCol w:w="7215"/>
      </w:tblGrid>
      <w:tr>
        <w:trPr>
          <w:trHeight w:val="539" w:hRule="atLeast"/>
        </w:trPr>
        <w:tc>
          <w:tcPr>
            <w:tcW w:w="2716" w:type="dxa"/>
            <w:tcBorders>
              <w:top w:val="doub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Nguyên liệu đầu vào khác</w:t>
            </w:r>
          </w:p>
        </w:tc>
        <w:tc>
          <w:tcPr>
            <w:tcW w:w="7215" w:type="dxa"/>
            <w:tcBorders>
              <w:top w:val="doub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Mô tả</w:t>
            </w:r>
          </w:p>
        </w:tc>
      </w:tr>
      <w:tr>
        <w:trPr>
          <w:trHeight w:val="287" w:hRule="atLeast"/>
        </w:trPr>
        <w:tc>
          <w:tcPr>
            <w:tcW w:w="2716"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Phẩm màu</w:t>
            </w:r>
          </w:p>
        </w:tc>
        <w:tc>
          <w:tcPr>
            <w:tcW w:w="7215"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Màu thực phẩm tổng hợp </w:t>
            </w:r>
          </w:p>
        </w:tc>
      </w:tr>
      <w:tr>
        <w:trPr>
          <w:trHeight w:val="120" w:hRule="atLeast"/>
        </w:trPr>
        <w:tc>
          <w:tcPr>
            <w:tcW w:w="2716"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Phụ gia</w:t>
            </w:r>
          </w:p>
        </w:tc>
        <w:tc>
          <w:tcPr>
            <w:tcW w:w="7215"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Hương liệu vani tổng hợp</w:t>
            </w:r>
          </w:p>
        </w:tc>
      </w:tr>
      <w:tr>
        <w:trPr>
          <w:trHeight w:val="55" w:hRule="atLeast"/>
        </w:trPr>
        <w:tc>
          <w:tcPr>
            <w:tcW w:w="2716"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Nước sạch</w:t>
            </w:r>
          </w:p>
        </w:tc>
        <w:tc>
          <w:tcPr>
            <w:tcW w:w="7215" w:type="dxa"/>
            <w:tcBorders>
              <w:top w:val="single" w:sz="4" w:space="0" w:color="000000"/>
              <w:start w:val="single" w:sz="4" w:space="0" w:color="000000"/>
              <w:bottom w:val="single" w:sz="4" w:space="0" w:color="000000"/>
              <w:end w:val="double" w:sz="4" w:space="0" w:color="000000"/>
            </w:tcBorders>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Là nước sinh hoạt của hệ thống cung cấp nước công cộng, đạt các chỉ tiêu vệ sinh và an toàn cho nước sạch theo </w:t>
            </w:r>
            <w:r>
              <w:rPr>
                <w:rFonts w:cs="Times New Roman" w:ascii="Times New Roman" w:hAnsi="Times New Roman"/>
                <w:b w:val="false"/>
                <w:color w:val="000000"/>
                <w:sz w:val="26"/>
                <w:szCs w:val="26"/>
              </w:rPr>
              <w:t xml:space="preserve"> QCVN 01-1:2024/BYT của Bộ Y Tế</w:t>
            </w:r>
          </w:p>
        </w:tc>
      </w:tr>
      <w:tr>
        <w:trPr>
          <w:trHeight w:val="62" w:hRule="atLeast"/>
        </w:trPr>
        <w:tc>
          <w:tcPr>
            <w:tcW w:w="2716"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Giấy nhựa PP/giấy bạc</w:t>
            </w:r>
          </w:p>
        </w:tc>
        <w:tc>
          <w:tcPr>
            <w:tcW w:w="7215" w:type="dxa"/>
            <w:tcBorders>
              <w:top w:val="single" w:sz="4" w:space="0" w:color="000000"/>
              <w:start w:val="single" w:sz="4" w:space="0" w:color="000000"/>
              <w:bottom w:val="single" w:sz="4" w:space="0" w:color="000000"/>
              <w:end w:val="double" w:sz="4" w:space="0" w:color="000000"/>
            </w:tcBorders>
            <w:vAlign w:val="center"/>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Phù hợp với yêu cầu vệ sinh và an toàn đối với vật liệu tiếp xúc thực phẩm của Bộ y tế</w:t>
            </w:r>
          </w:p>
        </w:tc>
      </w:tr>
      <w:tr>
        <w:trPr>
          <w:trHeight w:val="62" w:hRule="atLeast"/>
        </w:trPr>
        <w:tc>
          <w:tcPr>
            <w:tcW w:w="2716"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Bìa hộp Duplex</w:t>
            </w:r>
          </w:p>
        </w:tc>
        <w:tc>
          <w:tcPr>
            <w:tcW w:w="7215" w:type="dxa"/>
            <w:tcBorders>
              <w:top w:val="single" w:sz="4" w:space="0" w:color="000000"/>
              <w:start w:val="single" w:sz="4" w:space="0" w:color="000000"/>
              <w:bottom w:val="single" w:sz="4" w:space="0" w:color="000000"/>
              <w:end w:val="double" w:sz="4" w:space="0" w:color="000000"/>
            </w:tcBorders>
            <w:vAlign w:val="center"/>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Phù hợp với yêu cầu vệ sinh và an toàn đối với vật liệu tiếp xúc thực phẩm của Bộ y tế</w:t>
            </w:r>
          </w:p>
        </w:tc>
      </w:tr>
      <w:tr>
        <w:trPr>
          <w:trHeight w:val="55" w:hRule="atLeast"/>
        </w:trPr>
        <w:tc>
          <w:tcPr>
            <w:tcW w:w="2716" w:type="dxa"/>
            <w:tcBorders>
              <w:top w:val="single" w:sz="4" w:space="0" w:color="000000"/>
              <w:start w:val="double" w:sz="4" w:space="0" w:color="000000"/>
              <w:bottom w:val="doub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Mực in nhãn mác </w:t>
            </w:r>
          </w:p>
        </w:tc>
        <w:tc>
          <w:tcPr>
            <w:tcW w:w="7215" w:type="dxa"/>
            <w:tcBorders>
              <w:top w:val="single" w:sz="4" w:space="0" w:color="000000"/>
              <w:start w:val="single" w:sz="4" w:space="0" w:color="000000"/>
              <w:bottom w:val="double" w:sz="4" w:space="0" w:color="000000"/>
              <w:end w:val="double" w:sz="4" w:space="0" w:color="000000"/>
            </w:tcBorders>
            <w:vAlign w:val="center"/>
          </w:tcPr>
          <w:p>
            <w:pPr>
              <w:pStyle w:val="Normal"/>
              <w:spacing w:before="60" w:after="6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Phù hợp với yêu cầu vệ sinh, bền không thôi nhiễm</w:t>
            </w:r>
          </w:p>
        </w:tc>
      </w:tr>
    </w:tbl>
    <w:p>
      <w:pPr>
        <w:pStyle w:val="Header"/>
        <w:tabs>
          <w:tab w:val="clear" w:pos="4320"/>
          <w:tab w:val="clear" w:pos="8640"/>
        </w:tabs>
        <w:spacing w:lineRule="auto" w:line="312"/>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r>
    </w:p>
    <w:p>
      <w:pPr>
        <w:pStyle w:val="Header"/>
        <w:tabs>
          <w:tab w:val="clear" w:pos="4320"/>
          <w:tab w:val="clear" w:pos="8640"/>
        </w:tabs>
        <w:spacing w:lineRule="auto" w:line="312"/>
        <w:rPr/>
      </w:pPr>
      <w:r>
        <w:rPr>
          <w:rFonts w:cs="Times New Roman" w:ascii="Times New Roman" w:hAnsi="Times New Roman"/>
          <w:color w:val="000000"/>
          <w:sz w:val="26"/>
          <w:szCs w:val="26"/>
          <w:lang w:val="nl-NL"/>
        </w:rPr>
        <w:t>5.2 Mô tả sản phẩm</w:t>
      </w:r>
    </w:p>
    <w:tbl>
      <w:tblPr>
        <w:tblW w:w="9979" w:type="dxa"/>
        <w:jc w:val="start"/>
        <w:tblInd w:w="108" w:type="dxa"/>
        <w:tblLayout w:type="fixed"/>
        <w:tblCellMar>
          <w:top w:w="0" w:type="dxa"/>
          <w:start w:w="108" w:type="dxa"/>
          <w:bottom w:w="0" w:type="dxa"/>
          <w:end w:w="108" w:type="dxa"/>
        </w:tblCellMar>
      </w:tblPr>
      <w:tblGrid>
        <w:gridCol w:w="2635"/>
        <w:gridCol w:w="7344"/>
      </w:tblGrid>
      <w:tr>
        <w:trPr>
          <w:trHeight w:val="387" w:hRule="atLeast"/>
        </w:trPr>
        <w:tc>
          <w:tcPr>
            <w:tcW w:w="2635" w:type="dxa"/>
            <w:tcBorders>
              <w:top w:val="doub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Đặc điểm</w:t>
            </w:r>
          </w:p>
        </w:tc>
        <w:tc>
          <w:tcPr>
            <w:tcW w:w="7344" w:type="dxa"/>
            <w:tcBorders>
              <w:top w:val="doub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color w:val="000000"/>
                <w:sz w:val="26"/>
                <w:szCs w:val="26"/>
                <w:lang w:val="nl-NL"/>
              </w:rPr>
            </w:pPr>
            <w:r>
              <w:rPr>
                <w:rFonts w:cs="Times New Roman" w:ascii="Times New Roman" w:hAnsi="Times New Roman"/>
                <w:color w:val="000000"/>
                <w:sz w:val="26"/>
                <w:szCs w:val="26"/>
                <w:lang w:val="nl-NL"/>
              </w:rPr>
              <w:t>Mô tả</w:t>
            </w:r>
          </w:p>
        </w:tc>
      </w:tr>
      <w:tr>
        <w:trPr>
          <w:trHeight w:val="573"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Tên sản phẩm</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Bánh đậu xanh Rồng Vàng Hoàng Gia</w:t>
            </w:r>
          </w:p>
        </w:tc>
      </w:tr>
      <w:tr>
        <w:trPr>
          <w:trHeight w:val="725"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Thành phần nguyên liệu</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numPr>
                <w:ilvl w:val="0"/>
                <w:numId w:val="2"/>
              </w:numPr>
              <w:spacing w:lineRule="auto" w:line="312"/>
              <w:ind w:hanging="206" w:start="206" w:end="0"/>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Đường trắng                       </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Bột đậu xanh nguyên chất</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Dầu thực vật                </w:t>
            </w:r>
          </w:p>
        </w:tc>
      </w:tr>
      <w:tr>
        <w:trPr>
          <w:trHeight w:val="725"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Nguồn nguyên liệu </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Bột đậu xanh nguyên chất qua quá trình sơ chế từ đỗ xanh: Khô, mịn, có màu vàng đặc trưng của đỗ xanh rang xay.</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Đường trắng nhập trong nước, Đường công nghiệp tinh khiết không lẫn tạp chất, hòa tan hoàn toàn đạt tiêu chuẩn TCVN 7968 -  Đường trắng</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Dầu thực vật nhập trong nước: phù hợp với tiêu chuẩn tương ứng với loại được sử dụng</w:t>
            </w:r>
          </w:p>
        </w:tc>
      </w:tr>
      <w:tr>
        <w:trPr>
          <w:trHeight w:val="93"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Quy cách thành phẩm</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numPr>
                <w:ilvl w:val="0"/>
                <w:numId w:val="2"/>
              </w:numPr>
              <w:spacing w:lineRule="auto" w:line="312"/>
              <w:ind w:hanging="206" w:start="206" w:end="0"/>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thể áp dụng Theo TCVN 7240:2003</w:t>
            </w:r>
          </w:p>
        </w:tc>
      </w:tr>
      <w:tr>
        <w:trPr>
          <w:trHeight w:val="93"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Vật liệu sử dụng và quy cách bao gói</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Bao gói bằng giấy PP, giấy bạc loại dùng cho bao gói thực phẩm sau đó cho vào túi nhựa POPP , sau đó cho vào hộp bìa Duplex và đóng thùng carton các loại bánh: </w:t>
            </w:r>
          </w:p>
        </w:tc>
      </w:tr>
      <w:tr>
        <w:trPr>
          <w:trHeight w:val="93"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Thời hạn sử dụng và điều kiện bảo quản</w:t>
            </w:r>
          </w:p>
        </w:tc>
        <w:tc>
          <w:tcPr>
            <w:tcW w:w="7344" w:type="dxa"/>
            <w:tcBorders>
              <w:top w:val="single" w:sz="4" w:space="0" w:color="000000"/>
              <w:start w:val="single" w:sz="4" w:space="0" w:color="000000"/>
              <w:bottom w:val="single" w:sz="4" w:space="0" w:color="000000"/>
              <w:end w:val="doub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Thời hạn sử dụng 270 ngày kể từ ngày sản xuất. </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Khi mở túi bảo quản sản phẩm  chỉ nên sử dụng trong 7 ngày.</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Yêu cầu bảo quản: Để nơi khô, thoáng, mát, sạch và tránh ánh sáng mặt trời trực tiếp. </w:t>
            </w:r>
          </w:p>
        </w:tc>
      </w:tr>
      <w:tr>
        <w:trPr>
          <w:trHeight w:val="93"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Nơi sản phẩm được bán ra</w:t>
            </w:r>
          </w:p>
        </w:tc>
        <w:tc>
          <w:tcPr>
            <w:tcW w:w="7344" w:type="dxa"/>
            <w:tcBorders>
              <w:top w:val="single" w:sz="4" w:space="0" w:color="000000"/>
              <w:start w:val="single" w:sz="4" w:space="0" w:color="000000"/>
              <w:bottom w:val="single" w:sz="4" w:space="0" w:color="000000"/>
              <w:end w:val="doub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Thị trường trong nước, xuất khẩu</w:t>
            </w:r>
          </w:p>
        </w:tc>
      </w:tr>
      <w:tr>
        <w:trPr>
          <w:trHeight w:val="94" w:hRule="atLeast"/>
        </w:trPr>
        <w:tc>
          <w:tcPr>
            <w:tcW w:w="2635" w:type="dxa"/>
            <w:tcBorders>
              <w:top w:val="single" w:sz="4" w:space="0" w:color="000000"/>
              <w:start w:val="doub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 xml:space="preserve">Đối tượng và cách sử dụng </w:t>
            </w:r>
          </w:p>
        </w:tc>
        <w:tc>
          <w:tcPr>
            <w:tcW w:w="7344" w:type="dxa"/>
            <w:tcBorders>
              <w:top w:val="single" w:sz="4" w:space="0" w:color="000000"/>
              <w:start w:val="single" w:sz="4" w:space="0" w:color="000000"/>
              <w:bottom w:val="single" w:sz="4" w:space="0" w:color="000000"/>
              <w:end w:val="double" w:sz="4" w:space="0" w:color="000000"/>
            </w:tcBorders>
          </w:tcPr>
          <w:p>
            <w:pPr>
              <w:pStyle w:val="Normal"/>
              <w:numPr>
                <w:ilvl w:val="0"/>
                <w:numId w:val="2"/>
              </w:numPr>
              <w:spacing w:lineRule="auto" w:line="312"/>
              <w:ind w:hanging="206" w:start="206" w:end="0"/>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Thực phẩm  ăn ngay </w:t>
            </w:r>
          </w:p>
          <w:p>
            <w:pPr>
              <w:pStyle w:val="Normal"/>
              <w:numPr>
                <w:ilvl w:val="0"/>
                <w:numId w:val="2"/>
              </w:numPr>
              <w:spacing w:lineRule="auto" w:line="312"/>
              <w:ind w:hanging="206" w:start="206" w:end="0"/>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rPr>
              <w:t>Sử dụng cho mọi đối tượng (Hạn chế cho người mắc bệnh tiểu đường)</w:t>
            </w:r>
          </w:p>
        </w:tc>
      </w:tr>
      <w:tr>
        <w:trPr>
          <w:trHeight w:val="719" w:hRule="atLeast"/>
        </w:trPr>
        <w:tc>
          <w:tcPr>
            <w:tcW w:w="2635" w:type="dxa"/>
            <w:tcBorders>
              <w:top w:val="single" w:sz="4" w:space="0" w:color="000000"/>
              <w:start w:val="double" w:sz="4" w:space="0" w:color="000000"/>
              <w:bottom w:val="double" w:sz="4" w:space="0" w:color="000000"/>
              <w:end w:val="sing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Yêu cầu ghi nhãn</w:t>
            </w:r>
          </w:p>
        </w:tc>
        <w:tc>
          <w:tcPr>
            <w:tcW w:w="7344" w:type="dxa"/>
            <w:tcBorders>
              <w:top w:val="single" w:sz="4" w:space="0" w:color="000000"/>
              <w:start w:val="single" w:sz="4" w:space="0" w:color="000000"/>
              <w:bottom w:val="double" w:sz="4" w:space="0" w:color="000000"/>
              <w:end w:val="double" w:sz="4" w:space="0" w:color="000000"/>
            </w:tcBorders>
            <w:vAlign w:val="center"/>
          </w:tcPr>
          <w:p>
            <w:pPr>
              <w:pStyle w:val="Normal"/>
              <w:spacing w:lineRule="auto" w:line="312"/>
              <w:jc w:val="both"/>
              <w:rPr>
                <w:rFonts w:ascii="Times New Roman" w:hAnsi="Times New Roman" w:cs="Times New Roman"/>
                <w:b w:val="false"/>
                <w:color w:val="000000"/>
                <w:sz w:val="26"/>
                <w:szCs w:val="26"/>
                <w:lang w:val="nl-NL"/>
              </w:rPr>
            </w:pPr>
            <w:r>
              <w:rPr>
                <w:rFonts w:cs="Times New Roman" w:ascii="Times New Roman" w:hAnsi="Times New Roman"/>
                <w:b w:val="false"/>
                <w:color w:val="000000"/>
                <w:sz w:val="26"/>
                <w:szCs w:val="26"/>
                <w:lang w:val="nl-NL"/>
              </w:rPr>
              <w:t>Theo Nghị định 43/2017/NĐ-CP “Ghi nhãn hàng hóa”</w:t>
            </w:r>
          </w:p>
        </w:tc>
      </w:tr>
    </w:tbl>
    <w:p>
      <w:pPr>
        <w:pStyle w:val="Header"/>
        <w:tabs>
          <w:tab w:val="clear" w:pos="4320"/>
          <w:tab w:val="clear" w:pos="8640"/>
        </w:tabs>
        <w:spacing w:lineRule="auto" w:line="312"/>
        <w:rPr/>
      </w:pPr>
      <w:r>
        <w:rPr>
          <w:rFonts w:cs="Times New Roman" w:ascii="Times New Roman" w:hAnsi="Times New Roman"/>
          <w:color w:val="000000"/>
          <w:sz w:val="26"/>
          <w:szCs w:val="26"/>
          <w:lang w:val="es-MX"/>
        </w:rPr>
        <w:t>5.3 Sơ đồ quá trình sản xuất(Xem file đính kèm)</w:t>
      </w:r>
    </w:p>
    <w:p>
      <w:pPr>
        <w:pStyle w:val="Header"/>
        <w:tabs>
          <w:tab w:val="clear" w:pos="4320"/>
          <w:tab w:val="clear" w:pos="8640"/>
        </w:tabs>
        <w:spacing w:lineRule="auto" w:line="312"/>
        <w:rPr/>
      </w:pPr>
      <w:r>
        <w:rPr>
          <w:rFonts w:cs="Times New Roman" w:ascii="Times New Roman" w:hAnsi="Times New Roman"/>
          <w:color w:val="000000"/>
          <w:sz w:val="26"/>
          <w:szCs w:val="26"/>
          <w:lang w:val="es-MX"/>
        </w:rPr>
        <w:t>5.4 Quy trình sản xuất (Xem Quy trình sản xuất)</w:t>
      </w:r>
    </w:p>
    <w:p>
      <w:pPr>
        <w:pStyle w:val="Header"/>
        <w:tabs>
          <w:tab w:val="clear" w:pos="4320"/>
          <w:tab w:val="clear" w:pos="8640"/>
        </w:tabs>
        <w:spacing w:lineRule="auto" w:line="312"/>
        <w:rPr/>
        <w:sectPr>
          <w:headerReference w:type="default" r:id="rId2"/>
          <w:footerReference w:type="default" r:id="rId3"/>
          <w:type w:val="nextPage"/>
          <w:pgSz w:w="11906" w:h="16838"/>
          <w:pgMar w:left="1418" w:right="851" w:gutter="0" w:header="720" w:top="851" w:footer="720" w:bottom="851"/>
          <w:pgNumType w:fmt="decimal"/>
          <w:formProt w:val="false"/>
          <w:textDirection w:val="lrTb"/>
          <w:docGrid w:type="default" w:linePitch="382" w:charSpace="0"/>
        </w:sectPr>
      </w:pPr>
      <w:r>
        <w:rPr/>
        <w:t>5.5 Xác định mối nguy nguyên liệu</w:t>
      </w:r>
    </w:p>
    <w:tbl>
      <w:tblPr>
        <w:tblW w:w="15209" w:type="dxa"/>
        <w:jc w:val="start"/>
        <w:tblInd w:w="0" w:type="dxa"/>
        <w:tblLayout w:type="fixed"/>
        <w:tblCellMar>
          <w:top w:w="0" w:type="dxa"/>
          <w:start w:w="108" w:type="dxa"/>
          <w:bottom w:w="0" w:type="dxa"/>
          <w:end w:w="108" w:type="dxa"/>
        </w:tblCellMar>
      </w:tblPr>
      <w:tblGrid>
        <w:gridCol w:w="777"/>
        <w:gridCol w:w="1814"/>
        <w:gridCol w:w="1856"/>
        <w:gridCol w:w="1618"/>
        <w:gridCol w:w="3435"/>
        <w:gridCol w:w="1569"/>
        <w:gridCol w:w="4140"/>
      </w:tblGrid>
      <w:tr>
        <w:trPr>
          <w:trHeight w:val="75" w:hRule="atLeast"/>
        </w:trPr>
        <w:tc>
          <w:tcPr>
            <w:tcW w:w="77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STT</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Nguyên liệu</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Mức độ nghiêm trọng</w:t>
            </w:r>
          </w:p>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Diễn giải cột 4</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 này có đáng kể không?</w:t>
            </w:r>
          </w:p>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(Có/không)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Biện pháp có thể áp dụng để giảm thiệu, loại trừ mối nguy đã nhận diện</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Đỗ xanh</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men, nấm mốc, nấm aflatoxin</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Loại bỏ lô không đạt trước khi tiến hành nhập kho</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Loại bỏ sau khi chần đỗ</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Thuốc bảo vệ thực vật,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Kim loại nặng.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Độc tố vi nấm</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Cam kết của nhà cung cấp</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Kiểm tra khi nhập nguyên liệu</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đất, cát, sạn</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Loại bỏ sau khi chần đỗ</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Nước</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Vi sinh vật có trong nước</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Nước được dùng từ nguồn nước sạch sinh hoạt của nhà máy cấp nước Thành phố, thau bể và làm vệ sinh 12 tháng/1 lần</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Kim loại nặng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Dư lượng Clo sau khi xử lý</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Quy chuẩn QCVN 01-1:2024/BYT của Bộ Y Tế</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Quy chuẩn QCVN 01-1:2024/BYT của Bộ Y tế</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3</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Đường (kính trắng, maltodetrin, đường dextrose …)</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Bào tử nấm men, nấm mốc</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 Cam kết của nhà cung cấp </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Kiểm  tra định kỳ</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 hóa học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Cam kết của nhà cung cấp</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cơ học, sạn cát</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Được nhà sản xuất đóng kín trong bao ni lon, loại bỏ sau khi hoán</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4</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Dầu thực vật</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Dầu nguyên chất VSV không thể sống được</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Dầu thực phẩm, tạp chất HH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Được đóng gói trong túi, hộp, can kín</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5</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Vani</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Vi sinh vật gây bệnh</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Bị tiêu diệt do ở nhiệt độ cao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 hóa học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CA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6</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Phẩm màu</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Cho vào đường khi còn nóng</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 hóa học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7</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Hương liệu (trái cây, hương sen…)</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Cho vào đường khi còn nóng</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 hóa học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8</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Bột matcha, bột trà xanh, bột sầu riêng…</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Cho vào đường khi còn nóng</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Lẫn tạp chất hóa học không cho phép</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 và kiểm tra CQ khi nhập kho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Tỷ lệ sử dụng rất ít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sản xuất</w:t>
            </w:r>
          </w:p>
        </w:tc>
      </w:tr>
      <w:tr>
        <w:trPr>
          <w:trHeight w:val="75"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9</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Cát</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men, nấm mốc,</w:t>
            </w:r>
          </w:p>
          <w:p>
            <w:pPr>
              <w:pStyle w:val="Normal"/>
              <w:spacing w:lineRule="auto" w:line="312"/>
              <w:jc w:val="both"/>
              <w:rPr/>
            </w:pPr>
            <w:r>
              <w:rPr>
                <w:rFonts w:cs="Times New Roman" w:ascii="Times New Roman" w:hAnsi="Times New Roman"/>
                <w:b w:val="false"/>
                <w:color w:val="000000"/>
                <w:sz w:val="26"/>
                <w:szCs w:val="26"/>
              </w:rPr>
              <w:t xml:space="preserve"> </w:t>
            </w:r>
            <w:r>
              <w:rPr>
                <w:rFonts w:cs="Times New Roman" w:ascii="Times New Roman" w:hAnsi="Times New Roman"/>
                <w:b w:val="false"/>
                <w:color w:val="000000"/>
                <w:sz w:val="26"/>
                <w:szCs w:val="26"/>
              </w:rPr>
              <w:t>nấm af</w:t>
            </w:r>
            <w:r>
              <w:rPr>
                <w:rFonts w:cs="Times New Roman" w:ascii="Times New Roman" w:hAnsi="Times New Roman"/>
                <w:b w:val="false"/>
                <w:color w:val="000000"/>
                <w:sz w:val="26"/>
                <w:szCs w:val="26"/>
                <w:lang w:val="vi-VN"/>
              </w:rPr>
              <w:t>l</w:t>
            </w:r>
            <w:r>
              <w:rPr>
                <w:rFonts w:cs="Times New Roman" w:ascii="Times New Roman" w:hAnsi="Times New Roman"/>
                <w:b w:val="false"/>
                <w:color w:val="000000"/>
                <w:sz w:val="26"/>
                <w:szCs w:val="26"/>
              </w:rPr>
              <w:t>atoxin</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Bị tiêu diệt trong môi trường rang ở nhiệt độ cao</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rác lẫn trong cát</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Được sàng loại bỏ tạp chất to, thô trước khi cho vào rang. Được loại bỏ khi tách vỏ.</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Nhặt sạch các tạp chất có thể phát hiện bằng mắt thường khi rang</w:t>
            </w:r>
          </w:p>
        </w:tc>
      </w:tr>
      <w:tr>
        <w:trPr>
          <w:trHeight w:val="598"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10</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Giấy bạc</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Nhẹ</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Lượng VSV trên bề mặt giấy không đáng kể</w:t>
            </w:r>
          </w:p>
        </w:tc>
        <w:tc>
          <w:tcPr>
            <w:tcW w:w="156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41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của nhà cung cấp</w:t>
            </w:r>
          </w:p>
          <w:p>
            <w:pPr>
              <w:pStyle w:val="Normal"/>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rPr>
              <w:t>Kiểm tra khi nhập hàng</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Times New Roman" w:ascii="Times New Roman" w:hAnsi="Times New Roman"/>
                <w:b w:val="false"/>
                <w:color w:val="000000"/>
                <w:sz w:val="26"/>
                <w:szCs w:val="26"/>
              </w:rPr>
              <w:t xml:space="preserve">Cam kết chất lượng của nhà sản xuất </w:t>
            </w:r>
          </w:p>
          <w:p>
            <w:pPr>
              <w:pStyle w:val="Normal"/>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Kết quả thử nghiệm đáp ứng yêu cầu của QCVN 12-3:2011/BYT hoặc hồ sơ công bố hợp quy</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Đã được xử lý trong quá trình sản xuất, được bao gói kín trong thùng, hộp</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Kiểm tra vỏ thùng, hộp đựng còn nguyên vẹn trước khi nhập kho và trước khi đưa vào sản xuất</w:t>
            </w:r>
          </w:p>
        </w:tc>
      </w:tr>
      <w:tr>
        <w:trPr>
          <w:trHeight w:val="598"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11</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Hộp tiểu</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lang w:val="vi-VN"/>
              </w:rPr>
              <w:t>Do sản phẩm được đóng gói kín, đảm bảo không bị ẩm từ môi trường ngoài</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Cam kết chất lượng của nhà sản xuất</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Kiểm tra vỏ hộp còn nguyên vẹn trước khi nhập kho và trước khi đưa vào sản xuất</w:t>
            </w:r>
          </w:p>
        </w:tc>
      </w:tr>
      <w:tr>
        <w:trPr>
          <w:trHeight w:val="466" w:hRule="atLeast"/>
        </w:trPr>
        <w:tc>
          <w:tcPr>
            <w:tcW w:w="77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12</w:t>
            </w:r>
          </w:p>
        </w:tc>
        <w:tc>
          <w:tcPr>
            <w:tcW w:w="181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Giấy bao</w:t>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lang w:val="vi-VN"/>
              </w:rPr>
              <w:t>Sản phẩm được đóng gói kín, đảm bảo không bị ẩm từ môi trường ngoài</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Cam kết chất lượng của nhà sản xuất</w:t>
            </w:r>
          </w:p>
        </w:tc>
      </w:tr>
      <w:tr>
        <w:trPr>
          <w:trHeight w:val="75" w:hRule="atLeast"/>
        </w:trPr>
        <w:tc>
          <w:tcPr>
            <w:tcW w:w="7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1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56"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618"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343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Sản phẩm được sản xuất trong môi trường đảm bảo vệ sinh</w:t>
            </w:r>
          </w:p>
        </w:tc>
        <w:tc>
          <w:tcPr>
            <w:tcW w:w="156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Không</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Kiểm tra vỏ hộp còn nguyên vẹn trước khi nhập kho và trước khi đưa vào sản xuất</w:t>
            </w:r>
          </w:p>
        </w:tc>
      </w:tr>
    </w:tbl>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p>
      <w:pPr>
        <w:pStyle w:val="Normal"/>
        <w:spacing w:lineRule="auto" w:line="312"/>
        <w:rPr>
          <w:rFonts w:ascii="Times New Roman" w:hAnsi="Times New Roman" w:cs="Times New Roman"/>
          <w:color w:val="000000"/>
          <w:sz w:val="26"/>
          <w:szCs w:val="26"/>
        </w:rPr>
      </w:pPr>
      <w:r>
        <w:rPr>
          <w:rFonts w:cs="Times New Roman" w:ascii="Times New Roman" w:hAnsi="Times New Roman"/>
          <w:color w:val="000000"/>
          <w:sz w:val="26"/>
          <w:szCs w:val="26"/>
        </w:rPr>
        <w:t>5.6 Xác định các mối nguy trong quá trình sản xuất</w:t>
      </w:r>
    </w:p>
    <w:tbl>
      <w:tblPr>
        <w:tblW w:w="15355" w:type="dxa"/>
        <w:jc w:val="start"/>
        <w:tblInd w:w="0" w:type="dxa"/>
        <w:tblLayout w:type="fixed"/>
        <w:tblCellMar>
          <w:top w:w="0" w:type="dxa"/>
          <w:start w:w="108" w:type="dxa"/>
          <w:bottom w:w="0" w:type="dxa"/>
          <w:end w:w="108" w:type="dxa"/>
        </w:tblCellMar>
      </w:tblPr>
      <w:tblGrid>
        <w:gridCol w:w="738"/>
        <w:gridCol w:w="1800"/>
        <w:gridCol w:w="2160"/>
        <w:gridCol w:w="1530"/>
        <w:gridCol w:w="3661"/>
        <w:gridCol w:w="1701"/>
        <w:gridCol w:w="3765"/>
      </w:tblGrid>
      <w:tr>
        <w:trPr/>
        <w:tc>
          <w:tcPr>
            <w:tcW w:w="73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STT</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Công đoạn chế biến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 có ảnh hưởng đến sức khỏe người tiêu dùng 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Diễn giải</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 này có đáng kể 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Biện pháp có thể áp dụng để giảm thiểu, loại trừ mối nguy đã nhận diện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Nước rửa có thể chứa VSV; đỗ được luộc ở nhiệt độ cao ngay sau đó</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Sử dụng nước sạch đạt QCVN 01-1:2024/BYT; luộc ở nhiệt độ cao tiêu diệt VSV</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Rửa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Đất, cát, sạn còn lẫn trong đỗ</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Xả nước rửa loại bỏ đất, cát, tạp chất; để ráo trước khi luộc (đỗ non luộc luôn)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Luộc đỗ</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Nhiệt độ cao VSV không thể tồn tại và phát triển</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Nấu ở nhiệt độ cao</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Vì đã được loại bỏ trước khi nhập kho nguyên liệu</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cơ học, sạn cát.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Những tạp chất, chất bụi bẩn từ thiết bị, máy móc</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nấu;</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Sàng vớt hạt đỗ khi luộc xong.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 Nhặt sạch các tạp chất có thể phát hiện bằng mắt thường sau </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khi luộc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3</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Rang đỗ với cát</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Do nhiệt độ rang cao nên VSV không  thể tồn tại và phát triển được</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Bụi bẩn từ môi trường xung quanh có thể rơi vào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rang;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Sàng loại bỏ cát;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Nhặt sạch các tạp chất có thể phát hiện bằng mắt thường khi rang.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4</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Sàng loại bỏ cát</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Vì ở nhiệt động cao nên VSV không  thể tồn tại và phát triển được</w:t>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Vệ sinh thiết bị trước khi sàng</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lang w:val="vi-VN"/>
              </w:rPr>
              <w:t>Vệ sinh thiết bị trước khi sàng</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Bụi bẩn từ môi trường xung quanh có thể rơi vào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 xml:space="preserve">- Vệ sinh thiết bị trước khi </w:t>
            </w:r>
            <w:r>
              <w:rPr>
                <w:rFonts w:cs="Times New Roman" w:ascii="Times New Roman" w:hAnsi="Times New Roman"/>
                <w:b w:val="false"/>
                <w:color w:val="000000"/>
                <w:sz w:val="26"/>
                <w:szCs w:val="26"/>
                <w:lang w:val="vi-VN"/>
              </w:rPr>
              <w:t>sà</w:t>
            </w:r>
            <w:r>
              <w:rPr>
                <w:rFonts w:cs="Times New Roman" w:ascii="Times New Roman" w:hAnsi="Times New Roman"/>
                <w:b w:val="false"/>
                <w:color w:val="000000"/>
                <w:sz w:val="26"/>
                <w:szCs w:val="26"/>
              </w:rPr>
              <w:t>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Sàng loại bỏ cát;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 Nhặt sạch các tạp chất có thể phát hiện bằng mắt thường sau </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khi rang.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5</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Ủ và làm nguội</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Vì ở nhiệt động cao nên VSV không  thể tồn tại và phát triển được</w:t>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Vệ sinh thiết bị trước khi ủ.</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Vì được ủ trong môi trường kín nên không bị lần tạp chất từ môi trường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ủ.</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Quá trình ủ trong thùng kim loại được đậy kín.</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6</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Tách vỏ</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bề mặt thiết bị và môi trường xung quanh</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rPr>
              <w:t xml:space="preserve">- </w:t>
            </w:r>
            <w:r>
              <w:rPr>
                <w:rFonts w:cs="Times New Roman" w:ascii="Times New Roman" w:hAnsi="Times New Roman"/>
                <w:b w:val="false"/>
                <w:color w:val="000000"/>
                <w:sz w:val="26"/>
                <w:szCs w:val="26"/>
                <w:lang w:val="vi-VN"/>
              </w:rPr>
              <w:t>Vệ sinh nhà xưởng theo quy định</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Vệ sinh thiết bị trước khi sử dụng.</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Bụi bẩn từ môi trường xung quanh có thể rơi vào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rang;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Sàng loại bỏ cát;</w:t>
            </w:r>
          </w:p>
          <w:p>
            <w:pPr>
              <w:pStyle w:val="Normal"/>
              <w:spacing w:lineRule="auto" w:line="312"/>
              <w:jc w:val="both"/>
              <w:rPr/>
            </w:pPr>
            <w:r>
              <w:rPr>
                <w:rFonts w:cs="Times New Roman" w:ascii="Times New Roman" w:hAnsi="Times New Roman"/>
                <w:b w:val="false"/>
                <w:color w:val="000000"/>
                <w:sz w:val="26"/>
                <w:szCs w:val="26"/>
              </w:rPr>
              <w:t>- Nhặt sạch các tạp chất có thể phát hiện bằng mắt thường khi tách vỏ.</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7</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Làm sạch</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bề mặt thiết bị và môi trường xung quanh</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 xml:space="preserve">- </w:t>
            </w:r>
            <w:r>
              <w:rPr>
                <w:rFonts w:cs="Times New Roman" w:ascii="Times New Roman" w:hAnsi="Times New Roman"/>
                <w:b w:val="false"/>
                <w:color w:val="000000"/>
                <w:sz w:val="26"/>
                <w:szCs w:val="26"/>
                <w:lang w:val="vi-VN"/>
              </w:rPr>
              <w:t>Vệ sinh nhà xưởng theo quy định</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Vệ sinh thiết bị trước khi sử dụng.</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Bụi bẩn từ môi trường xung quanh có thể rơi vào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 Vệ sinh thiết bị trước khi sử dụng;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Sàng loại bỏ cát;</w:t>
            </w:r>
          </w:p>
          <w:p>
            <w:pPr>
              <w:pStyle w:val="Normal"/>
              <w:spacing w:lineRule="auto" w:line="312"/>
              <w:jc w:val="both"/>
              <w:rPr/>
            </w:pPr>
            <w:r>
              <w:rPr>
                <w:rFonts w:cs="Times New Roman" w:ascii="Times New Roman" w:hAnsi="Times New Roman"/>
                <w:b w:val="false"/>
                <w:color w:val="000000"/>
                <w:sz w:val="26"/>
                <w:szCs w:val="26"/>
              </w:rPr>
              <w:t>- Nhặt sạch các tạp chất có thể phát hiện bằng mắt thường sau khi tách vỏ.</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8</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Xay nghiền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thiết bị và môi trường xung quanh</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 xml:space="preserve">- </w:t>
            </w:r>
            <w:r>
              <w:rPr>
                <w:rFonts w:cs="Times New Roman" w:ascii="Times New Roman" w:hAnsi="Times New Roman"/>
                <w:b w:val="false"/>
                <w:color w:val="000000"/>
                <w:sz w:val="26"/>
                <w:szCs w:val="26"/>
                <w:lang w:val="vi-VN"/>
              </w:rPr>
              <w:t>Vệ sinh nhà xưởng theo quy định</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Vệ sinh thiết bị trước khi sử dụng.</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Loại bỏ 1 kg đầu tiên khi chạy máy.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Bụi bẩn từ môi trường xung quanh có thể rơi vào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sử dụng.</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9</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Lưu kho bột  + đường </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Đảm bảo đậy kín thùng phi chứa, thời gian lưu kho không quá 2 ngày.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Tính chất của bột bị biến đổi trong thời gian lưu kho</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 Thời gian lưu kho không quá 2 ngày.</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Do được bao kín trong túi bóng, bao tải</w:t>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Đảm bảo Khu vực kho sạch sẽ, cách ly với các khu vực khác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10</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Nấu đường</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VSV trong thiết bị, người tiếp xúc trực tiếp</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sử dụng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 Đảm bảo công nhân tuân thủ đầy đủ quy định trong khi sản xuất </w:t>
            </w:r>
          </w:p>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t>- Nhiệt độ cao vi sinh vật không phát triển được</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từ thiết bị máy móc, công nhân sản xuất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Đảm bảo Khu vực trộn sạch sẽ, cách ly với các khu vực khác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11</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Trộn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VSV trong bột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VSV trong thiết bị, người tiếp xúc trực tiếp</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sử dụng.</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Loại bỏ 1 mẻ trộn 1kg ban đầu khi bắt đầu trộn.</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Tạp chất từ thiết bị máy móc, công nhân sản xuất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Đảm bảo Khu vực trộn sạch sẽ, cách ly với các khu vực khác</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12</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Ủ sau trộn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VSV trong bột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VSV trong thiết bị, người tiếp xúc trực tiếp</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 Vệ sinh thiết bị </w:t>
            </w:r>
          </w:p>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cá nhân công nhân</w:t>
            </w:r>
          </w:p>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Thực hiện nội quy vệ sinh</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w:t>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lao động, dụng cụ</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Thực hiện nội quy vệ sinh</w:t>
            </w:r>
          </w:p>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Đậy kín nắp thùng khi ủ. </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13</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pPr>
            <w:r>
              <w:rPr>
                <w:rFonts w:cs="Times New Roman" w:ascii="Times New Roman" w:hAnsi="Times New Roman"/>
                <w:b w:val="false"/>
                <w:color w:val="000000"/>
                <w:sz w:val="26"/>
                <w:szCs w:val="26"/>
              </w:rPr>
              <w:t>Đóng gói bánh</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thiết bị tiếp xúc trực tiếp</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Thực hiện nội quy vệ sinh.</w:t>
            </w:r>
          </w:p>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Vệ sinh thiết bị trước khi sản xuất.</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lao động, dụng cụ</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Thực hiện nội quy vệ sinh</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14</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Bao nilon và vào hộp nhỏ</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không khí</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Thực hiện theo Quy trình công nghệ, Nội quy vệ sinh.</w:t>
            </w:r>
          </w:p>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lao động, dụng cụ</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nội quy vệ sinh</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15</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Bao gói nilon</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không khí</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nội quy vệ sinh</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lao động, dụng cụ</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nội quy vệ sinh</w:t>
            </w:r>
          </w:p>
        </w:tc>
      </w:tr>
      <w:tr>
        <w:trPr/>
        <w:tc>
          <w:tcPr>
            <w:tcW w:w="73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16</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Vào hộp, đóng thùng, lưu kho</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Sinh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Nấm mốc từ không khí</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nội quy vệ sinh</w:t>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7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Vật lý </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tc>
        <w:tc>
          <w:tcPr>
            <w:tcW w:w="36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Từ người lao động, dụng cụ</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3765"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Theo nội quy vệ sinh</w:t>
            </w:r>
          </w:p>
        </w:tc>
      </w:tr>
    </w:tbl>
    <w:p>
      <w:pPr>
        <w:pStyle w:val="Normal"/>
        <w:spacing w:lineRule="auto" w:line="312"/>
        <w:rPr>
          <w:rFonts w:ascii="Times New Roman" w:hAnsi="Times New Roman" w:cs="Times New Roman"/>
          <w:color w:val="000000"/>
          <w:sz w:val="26"/>
          <w:szCs w:val="26"/>
        </w:rPr>
      </w:pPr>
      <w:r>
        <w:rPr>
          <w:rFonts w:cs="Times New Roman" w:ascii="Times New Roman" w:hAnsi="Times New Roman"/>
          <w:color w:val="000000"/>
          <w:sz w:val="26"/>
          <w:szCs w:val="26"/>
        </w:rPr>
      </w:r>
    </w:p>
    <w:p>
      <w:pPr>
        <w:pStyle w:val="Normal"/>
        <w:spacing w:lineRule="auto" w:line="312"/>
        <w:rPr>
          <w:rFonts w:ascii="Times New Roman" w:hAnsi="Times New Roman" w:cs="Times New Roman"/>
          <w:color w:val="000000"/>
          <w:sz w:val="26"/>
          <w:szCs w:val="26"/>
        </w:rPr>
      </w:pPr>
      <w:r>
        <w:rPr>
          <w:rFonts w:cs="Times New Roman" w:ascii="Times New Roman" w:hAnsi="Times New Roman"/>
          <w:color w:val="000000"/>
          <w:sz w:val="26"/>
          <w:szCs w:val="26"/>
        </w:rPr>
        <w:t>5.3 Xác định mục tiêu an toàn thực phẩm cho quá trình sản xuất</w:t>
      </w:r>
    </w:p>
    <w:p>
      <w:pPr>
        <w:pStyle w:val="Normal"/>
        <w:spacing w:lineRule="auto" w:line="312"/>
        <w:rPr/>
      </w:pPr>
      <w:r>
        <w:rPr/>
        <w:t>Xác định các biện pháp kiểm soát đối với các mối nguy đã xác định. Tập trung trách nhiệm của cơ sở sản xuất vào việc nhập nguyên liệu an toàn và tránh gây ô nhiễm trong quá trình sản xuất</w:t>
      </w:r>
    </w:p>
    <w:tbl>
      <w:tblPr>
        <w:tblW w:w="15355" w:type="dxa"/>
        <w:jc w:val="start"/>
        <w:tblInd w:w="0" w:type="dxa"/>
        <w:tblLayout w:type="fixed"/>
        <w:tblCellMar>
          <w:top w:w="0" w:type="dxa"/>
          <w:start w:w="108" w:type="dxa"/>
          <w:bottom w:w="0" w:type="dxa"/>
          <w:end w:w="108" w:type="dxa"/>
        </w:tblCellMar>
      </w:tblPr>
      <w:tblGrid>
        <w:gridCol w:w="5118"/>
        <w:gridCol w:w="5118"/>
        <w:gridCol w:w="5119"/>
      </w:tblGrid>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Mỗi nguy đã xác định</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Trách nhiệm người trực tiếp sản xuất</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Trách nhiệm người quản lý giám sát</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Mối nguy vi sinh vật gây bệnh thay đổi bất thường nhìn thấy được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w:t>
            </w:r>
          </w:p>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Cụ thể: Loại bỏ khi nhập và kiểm tra trước khi sử dụng nguyên liệu</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(Kiểm tra trước khi nhập)</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Mối nguy vi sinh vật không nhìn thấy được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(Lấy mẫu kiểm nghiệm)</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Mối nguy côn trùng, chuột bọ</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(trong các bước chính của quá trình)</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(Kiểm tra giám sát thường xuyên)</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Mối nguy hóa chất, các nguồn nghi ngờ khác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Không</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(Lấy mẫu kiểm tra)</w:t>
            </w:r>
          </w:p>
        </w:tc>
      </w:tr>
      <w:tr>
        <w:trPr/>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Mối nguy lý học</w:t>
            </w:r>
          </w:p>
        </w:tc>
        <w:tc>
          <w:tcPr>
            <w:tcW w:w="5118"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(trong các bước của quá trình sản xuất)</w:t>
            </w:r>
          </w:p>
        </w:tc>
        <w:tc>
          <w:tcPr>
            <w:tcW w:w="5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Có (Kiểm tra, giám sát)</w:t>
            </w:r>
          </w:p>
        </w:tc>
      </w:tr>
    </w:tbl>
    <w:p>
      <w:pPr>
        <w:pStyle w:val="Normal"/>
        <w:spacing w:lineRule="auto" w:line="312"/>
        <w:rPr>
          <w:rFonts w:ascii="Times New Roman" w:hAnsi="Times New Roman" w:cs="Times New Roman"/>
          <w:color w:val="000000"/>
          <w:sz w:val="26"/>
          <w:szCs w:val="26"/>
        </w:rPr>
      </w:pPr>
      <w:r>
        <w:rPr>
          <w:rFonts w:cs="Times New Roman" w:ascii="Times New Roman" w:hAnsi="Times New Roman"/>
          <w:color w:val="000000"/>
          <w:sz w:val="26"/>
          <w:szCs w:val="26"/>
        </w:rPr>
        <w:t>Các mục tiêu về an toàn thực phẩm được xác định là:</w:t>
      </w:r>
    </w:p>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Giảm thiểu sự lây lan và tán phân bố các mối nguy vi sinh vật từ nguyên liệu, môi trường, người sản xuất gồm cả kiểm soát các chất ô nhiễm nhìn thấy được thông qua việc áp dụng kế hoạch HACCP đạt được các chỉ tiêu vi sinh vật đã định rõ.</w:t>
      </w:r>
    </w:p>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Xác định các nguyên liệu ô nhiễm hóa chất và tạp chất cơ học để lựa chọn nguồn nguyên liệu</w:t>
      </w:r>
    </w:p>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Mục tiêu là bánh đậu xanh khi đưa ra thị trường đến tay người tiêu dùng không có các mối nguy cơ cao gây ảnh hưởng đến sức khỏe con người. Đạt tất cả các chỉ tiêu về an toàn thực phẩm đối với sản phẩm thực phẩm ăn ngay.</w:t>
      </w:r>
    </w:p>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Xác lập thủ tục thu hồi khi phát hiện sản phẩm không đảm bảo khi đã ra ngoài thị trường nhằm hạn chế tối thiếu ảnh hưởng đến sức khỏe người tiêu dùng.</w:t>
      </w:r>
      <w:r>
        <w:br w:type="page"/>
      </w:r>
    </w:p>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p>
      <w:pPr>
        <w:pStyle w:val="Normal"/>
        <w:spacing w:lineRule="auto" w:line="312"/>
        <w:rPr/>
      </w:pPr>
      <w:r>
        <w:rPr>
          <w:rFonts w:cs="Times New Roman" w:ascii="Times New Roman" w:hAnsi="Times New Roman"/>
          <w:color w:val="000000"/>
          <w:sz w:val="26"/>
          <w:szCs w:val="26"/>
        </w:rPr>
        <w:t>5.4 Xác định</w:t>
      </w:r>
      <w:r>
        <w:rPr>
          <w:rFonts w:cs="Times New Roman" w:ascii="Times New Roman" w:hAnsi="Times New Roman"/>
          <w:color w:val="000000"/>
          <w:sz w:val="26"/>
          <w:szCs w:val="26"/>
          <w:lang w:val="vi-VN"/>
        </w:rPr>
        <w:t xml:space="preserve"> các </w:t>
      </w:r>
      <w:r>
        <w:rPr>
          <w:rFonts w:cs="Times New Roman" w:ascii="Times New Roman" w:hAnsi="Times New Roman"/>
          <w:color w:val="000000"/>
          <w:sz w:val="26"/>
          <w:szCs w:val="26"/>
        </w:rPr>
        <w:t>điểm kiểm soát</w:t>
      </w:r>
      <w:r>
        <w:rPr>
          <w:rFonts w:cs="Times New Roman" w:ascii="Times New Roman" w:hAnsi="Times New Roman"/>
          <w:color w:val="000000"/>
          <w:sz w:val="26"/>
          <w:szCs w:val="26"/>
          <w:lang w:val="vi-VN"/>
        </w:rPr>
        <w:t xml:space="preserve"> (CP), điểm kiểm soát</w:t>
      </w:r>
      <w:r>
        <w:rPr/>
        <w:t xml:space="preserve"> tới hạn (CCP)</w:t>
      </w:r>
    </w:p>
    <w:tbl>
      <w:tblPr>
        <w:tblW w:w="15355" w:type="dxa"/>
        <w:jc w:val="start"/>
        <w:tblInd w:w="0" w:type="dxa"/>
        <w:tblLayout w:type="fixed"/>
        <w:tblCellMar>
          <w:top w:w="0" w:type="dxa"/>
          <w:start w:w="108" w:type="dxa"/>
          <w:bottom w:w="0" w:type="dxa"/>
          <w:end w:w="108" w:type="dxa"/>
        </w:tblCellMar>
      </w:tblPr>
      <w:tblGrid>
        <w:gridCol w:w="1818"/>
        <w:gridCol w:w="2340"/>
        <w:gridCol w:w="1599"/>
        <w:gridCol w:w="1731"/>
        <w:gridCol w:w="1530"/>
        <w:gridCol w:w="1710"/>
        <w:gridCol w:w="1080"/>
        <w:gridCol w:w="3547"/>
      </w:tblGrid>
      <w:tr>
        <w:trPr/>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Bước sản xuất</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Mối nguy xác định</w:t>
            </w:r>
          </w:p>
        </w:tc>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Tại bước này có biện pháp nào kiểm soát có thể ngăn ngừa được các mối nguy đã nhận diện không?</w:t>
            </w:r>
          </w:p>
        </w:tc>
        <w:tc>
          <w:tcPr>
            <w:tcW w:w="17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Có phải bước này được thiết kế để phòng ngừa hoặc giảm đến mức có thể chấp nhận được khả năng xảy ra mối nguy hay không?</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pPr>
            <w:r>
              <w:rPr>
                <w:rFonts w:cs="Times New Roman" w:ascii="Times New Roman" w:hAnsi="Times New Roman"/>
                <w:color w:val="000000"/>
                <w:sz w:val="26"/>
                <w:szCs w:val="26"/>
              </w:rPr>
              <w:t>Liệu mối nguy có thể xảy ra hoặc tăng quá mức tại bước này không?</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Bước tiếp theo trong quá trình có loại bỏ hoặc làm giảm mối nguy xuống tới mức an toàn không?</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Số CCP</w:t>
            </w:r>
          </w:p>
        </w:tc>
        <w:tc>
          <w:tcPr>
            <w:tcW w:w="35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color w:val="000000"/>
                <w:sz w:val="26"/>
                <w:szCs w:val="26"/>
              </w:rPr>
            </w:pPr>
            <w:r>
              <w:rPr>
                <w:rFonts w:cs="Times New Roman" w:ascii="Times New Roman" w:hAnsi="Times New Roman"/>
                <w:color w:val="000000"/>
                <w:sz w:val="26"/>
                <w:szCs w:val="26"/>
              </w:rPr>
              <w:t>Biện pháp</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1. Nhập và chuẩn bị nguyên liệu Đỗ</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 tồn dư hàm lượng thuốc bảo vệ thực vật</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Sử dụng nguyên liệu nhập khẩu, có chứng chỉ CO, CQ đầy đủ, đạt yêu cầu</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Nguyên liệu có chứng chỉ chất lượng của nhà sản xuất</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2. Lưu kho bột đậu xanh</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rPr>
              <w:t>Thực hiện theo quy định lưu kho</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lang w:val="vi-VN"/>
              </w:rPr>
            </w:pPr>
            <w:r>
              <w:rPr>
                <w:rFonts w:cs="Times New Roman" w:ascii="Times New Roman" w:hAnsi="Times New Roman"/>
                <w:b w:val="false"/>
                <w:color w:val="000000"/>
                <w:sz w:val="26"/>
                <w:szCs w:val="26"/>
                <w:lang w:val="vi-VN"/>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rPr>
            </w:pPr>
            <w:r>
              <w:rPr>
                <w:color w:val="000000"/>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3. Trộn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 xml:space="preserve">Hóa học </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4. Ủ sau trộn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b w:val="false"/>
                <w:color w:val="000000"/>
                <w:sz w:val="26"/>
                <w:szCs w:val="26"/>
              </w:rPr>
              <w:t>5. Đóng bánh, Gói, bao nilon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Thực hiện theo quy trình vệ sinh, quy trình công nghệ</w:t>
            </w:r>
          </w:p>
        </w:tc>
      </w:tr>
      <w:tr>
        <w:trPr/>
        <w:tc>
          <w:tcPr>
            <w:tcW w:w="1818"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b w:val="false"/>
                <w:color w:val="000000"/>
                <w:sz w:val="26"/>
                <w:szCs w:val="26"/>
              </w:rPr>
              <w:t>6. Lưu kho</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Sinh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b w:val="false"/>
                <w:color w:val="000000"/>
              </w:rPr>
            </w:pPr>
            <w:r>
              <w:rPr>
                <w:b w:val="false"/>
                <w:color w:val="000000"/>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val="false"/>
                <w:color w:val="000000"/>
              </w:rPr>
            </w:pPr>
            <w:r>
              <w:rPr>
                <w:b w:val="false"/>
                <w:color w:val="000000"/>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Hóa học</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C</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cs="Times New Roman" w:ascii="Times New Roman" w:hAnsi="Times New Roman"/>
                <w:b w:val="false"/>
                <w:color w:val="000000"/>
                <w:sz w:val="26"/>
                <w:szCs w:val="26"/>
              </w:rPr>
              <w:t>K</w:t>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rFonts w:cs="Times New Roman" w:ascii="Times New Roman" w:hAnsi="Times New Roman"/>
                <w:b w:val="false"/>
                <w:color w:val="000000"/>
                <w:sz w:val="26"/>
                <w:szCs w:val="26"/>
              </w:rPr>
              <w:t>Thực hiện theo quy định lưu kho</w:t>
            </w:r>
          </w:p>
        </w:tc>
      </w:tr>
      <w:tr>
        <w:trPr/>
        <w:tc>
          <w:tcPr>
            <w:tcW w:w="181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Vật lý</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731"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t>K</w:t>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olor w:val="000000"/>
              </w:rPr>
            </w:pPr>
            <w:r>
              <w:rPr>
                <w:color w:val="000000"/>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3547"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r>
    </w:tbl>
    <w:p>
      <w:pPr>
        <w:pStyle w:val="Normal"/>
        <w:spacing w:lineRule="auto" w:line="312"/>
        <w:rPr>
          <w:rFonts w:ascii="Times New Roman" w:hAnsi="Times New Roman" w:cs="Times New Roman"/>
          <w:color w:val="000000"/>
          <w:sz w:val="26"/>
          <w:szCs w:val="26"/>
        </w:rPr>
      </w:pPr>
      <w:r>
        <w:rPr>
          <w:rFonts w:cs="Times New Roman" w:ascii="Times New Roman" w:hAnsi="Times New Roman"/>
          <w:color w:val="000000"/>
          <w:sz w:val="26"/>
          <w:szCs w:val="26"/>
        </w:rPr>
      </w:r>
    </w:p>
    <w:p>
      <w:pPr>
        <w:pStyle w:val="Normal"/>
        <w:spacing w:lineRule="auto" w:line="312"/>
        <w:rPr/>
      </w:pPr>
      <w:r>
        <w:rPr>
          <w:rFonts w:cs="Times New Roman" w:ascii="Times New Roman" w:hAnsi="Times New Roman"/>
          <w:color w:val="000000"/>
          <w:sz w:val="26"/>
          <w:szCs w:val="26"/>
        </w:rPr>
        <w:t xml:space="preserve">5.5 Tổng hợp điểm kiểm soát và thiết lập các giới hạn – không có </w:t>
      </w:r>
    </w:p>
    <w:sectPr>
      <w:headerReference w:type="default" r:id="rId4"/>
      <w:headerReference w:type="first" r:id="rId5"/>
      <w:footerReference w:type="default" r:id="rId6"/>
      <w:footerReference w:type="first" r:id="rId7"/>
      <w:type w:val="nextPage"/>
      <w:pgSz w:orient="landscape" w:w="16838" w:h="11906"/>
      <w:pgMar w:left="850" w:right="850" w:gutter="0" w:header="720" w:top="1411" w:footer="720" w:bottom="850"/>
      <w:pgNumType w:fmt="decimal"/>
      <w:formProt w:val="false"/>
      <w:textDirection w:val="lrTb"/>
      <w:docGrid w:type="default" w:linePitch="38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0" w:characterSet="windows-1252"/>
    <w:family w:val="swiss"/>
    <w:pitch w:val="variable"/>
  </w:font>
  <w:font w:name=".VnArial NarrowH">
    <w:charset w:val="00" w:characterSet="windows-1252"/>
    <w:family w:val="swiss"/>
    <w:pitch w:val="variable"/>
  </w:font>
  <w:font w:name=".VnTimeH">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sz w:val="20"/>
      </w:rPr>
      <w:t xml:space="preserve">Trang </w:t>
    </w:r>
    <w:r>
      <w:rPr>
        <w:rStyle w:val="PageNumber"/>
        <w:b/>
        <w:i/>
        <w:sz w:val="20"/>
      </w:rPr>
      <w:fldChar w:fldCharType="begin"/>
    </w:r>
    <w:r>
      <w:rPr>
        <w:rStyle w:val="PageNumber"/>
        <w:b/>
        <w:i/>
        <w:sz w:val="20"/>
      </w:rPr>
      <w:instrText xml:space="preserve"> PAGE </w:instrText>
    </w:r>
    <w:r>
      <w:rPr>
        <w:rStyle w:val="PageNumber"/>
        <w:b/>
        <w:i/>
        <w:sz w:val="20"/>
      </w:rPr>
      <w:fldChar w:fldCharType="separate"/>
    </w:r>
    <w:r>
      <w:rPr>
        <w:rStyle w:val="PageNumber"/>
        <w:b/>
        <w:i/>
        <w:sz w:val="20"/>
      </w:rPr>
      <w:t>3</w:t>
    </w:r>
    <w:r>
      <w:rPr>
        <w:rStyle w:val="PageNumber"/>
        <w:b/>
        <w:i/>
        <w:sz w:val="20"/>
      </w:rPr>
      <w:fldChar w:fldCharType="end"/>
    </w:r>
    <w:r>
      <w:rPr>
        <w:rStyle w:val="PageNumber"/>
        <w:b/>
        <w:i/>
        <w:sz w:val="20"/>
      </w:rPr>
      <w:t>/</w:t>
    </w:r>
    <w:r>
      <w:rPr>
        <w:rStyle w:val="PageNumber"/>
        <w:b/>
        <w:i/>
        <w:sz w:val="20"/>
      </w:rPr>
      <w:fldChar w:fldCharType="begin"/>
    </w:r>
    <w:r>
      <w:rPr>
        <w:rStyle w:val="PageNumber"/>
        <w:b/>
        <w:i/>
        <w:sz w:val="20"/>
      </w:rPr>
      <w:instrText xml:space="preserve"> NUMPAGES \* ARABIC </w:instrText>
    </w:r>
    <w:r>
      <w:rPr>
        <w:rStyle w:val="PageNumber"/>
        <w:b/>
        <w:i/>
        <w:sz w:val="20"/>
      </w:rPr>
      <w:fldChar w:fldCharType="separate"/>
    </w:r>
    <w:r>
      <w:rPr>
        <w:rStyle w:val="PageNumber"/>
        <w:b/>
        <w:i/>
        <w:sz w:val="20"/>
      </w:rPr>
      <w:t>16</w:t>
    </w:r>
    <w:r>
      <w:rPr>
        <w:rStyle w:val="PageNumber"/>
        <w:b/>
        <w:i/>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sz w:val="20"/>
      </w:rPr>
      <w:t xml:space="preserve">Trang </w:t>
    </w:r>
    <w:r>
      <w:rPr>
        <w:rStyle w:val="PageNumber"/>
        <w:b/>
        <w:i/>
        <w:sz w:val="20"/>
      </w:rPr>
      <w:fldChar w:fldCharType="begin"/>
    </w:r>
    <w:r>
      <w:rPr>
        <w:rStyle w:val="PageNumber"/>
        <w:b/>
        <w:i/>
        <w:sz w:val="20"/>
      </w:rPr>
      <w:instrText xml:space="preserve"> PAGE </w:instrText>
    </w:r>
    <w:r>
      <w:rPr>
        <w:rStyle w:val="PageNumber"/>
        <w:b/>
        <w:i/>
        <w:sz w:val="20"/>
      </w:rPr>
      <w:fldChar w:fldCharType="separate"/>
    </w:r>
    <w:r>
      <w:rPr>
        <w:rStyle w:val="PageNumber"/>
        <w:b/>
        <w:i/>
        <w:sz w:val="20"/>
      </w:rPr>
      <w:t>16</w:t>
    </w:r>
    <w:r>
      <w:rPr>
        <w:rStyle w:val="PageNumber"/>
        <w:b/>
        <w:i/>
        <w:sz w:val="20"/>
      </w:rPr>
      <w:fldChar w:fldCharType="end"/>
    </w:r>
    <w:r>
      <w:rPr>
        <w:rStyle w:val="PageNumber"/>
        <w:b/>
        <w:i/>
        <w:sz w:val="20"/>
      </w:rPr>
      <w:t>/</w:t>
    </w:r>
    <w:r>
      <w:rPr>
        <w:rStyle w:val="PageNumber"/>
        <w:b/>
        <w:i/>
        <w:sz w:val="20"/>
      </w:rPr>
      <w:fldChar w:fldCharType="begin"/>
    </w:r>
    <w:r>
      <w:rPr>
        <w:rStyle w:val="PageNumber"/>
        <w:b/>
        <w:i/>
        <w:sz w:val="20"/>
      </w:rPr>
      <w:instrText xml:space="preserve"> NUMPAGES \* ARABIC </w:instrText>
    </w:r>
    <w:r>
      <w:rPr>
        <w:rStyle w:val="PageNumber"/>
        <w:b/>
        <w:i/>
        <w:sz w:val="20"/>
      </w:rPr>
      <w:fldChar w:fldCharType="separate"/>
    </w:r>
    <w:r>
      <w:rPr>
        <w:rStyle w:val="PageNumber"/>
        <w:b/>
        <w:i/>
        <w:sz w:val="20"/>
      </w:rPr>
      <w:t>16</w:t>
    </w:r>
    <w:r>
      <w:rPr>
        <w:rStyle w:val="PageNumber"/>
        <w:b/>
        <w:i/>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3006"/>
      <w:gridCol w:w="3865"/>
      <w:gridCol w:w="2876"/>
    </w:tblGrid>
    <w:tr>
      <w:trPr>
        <w:trHeight w:val="1057" w:hRule="atLeast"/>
      </w:trPr>
      <w:tc>
        <w:tcPr>
          <w:tcW w:w="3006" w:type="dxa"/>
          <w:tcBorders>
            <w:top w:val="double" w:sz="4" w:space="0" w:color="000000"/>
            <w:start w:val="double" w:sz="4" w:space="0" w:color="000000"/>
            <w:bottom w:val="double" w:sz="4" w:space="0" w:color="000000"/>
            <w:end w:val="double" w:sz="4" w:space="0" w:color="000000"/>
          </w:tcBorders>
          <w:vAlign w:val="center"/>
        </w:tcPr>
        <w:p>
          <w:pPr>
            <w:pStyle w:val="Header"/>
            <w:jc w:val="center"/>
            <w:rPr>
              <w:rFonts w:ascii="Times New Roman" w:hAnsi="Times New Roman" w:cs="Times New Roman"/>
              <w:sz w:val="32"/>
              <w:szCs w:val="32"/>
              <w:lang w:val="en-US"/>
            </w:rPr>
          </w:pPr>
          <w:r>
            <w:rPr>
              <w:rFonts w:cs="Times New Roman" w:ascii="Times New Roman" w:hAnsi="Times New Roman"/>
              <w:sz w:val="32"/>
              <w:szCs w:val="32"/>
              <w:lang w:val="en-US"/>
            </w:rPr>
            <w:t>HOÀNG GIANG</w:t>
          </w:r>
        </w:p>
      </w:tc>
      <w:tc>
        <w:tcPr>
          <w:tcW w:w="3865" w:type="dxa"/>
          <w:tcBorders>
            <w:top w:val="double" w:sz="4" w:space="0" w:color="000000"/>
            <w:start w:val="double" w:sz="4" w:space="0" w:color="000000"/>
            <w:bottom w:val="double" w:sz="4" w:space="0" w:color="000000"/>
            <w:end w:val="double" w:sz="4" w:space="0" w:color="000000"/>
          </w:tcBorders>
          <w:vAlign w:val="center"/>
        </w:tcPr>
        <w:p>
          <w:pPr>
            <w:pStyle w:val="Heading1"/>
            <w:snapToGrid w:val="false"/>
            <w:ind w:hanging="0" w:start="0"/>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Heading1"/>
            <w:ind w:hanging="0" w:start="0"/>
            <w:rPr>
              <w:rFonts w:ascii="Times New Roman" w:hAnsi="Times New Roman" w:cs="Times New Roman"/>
              <w:b/>
              <w:sz w:val="28"/>
              <w:szCs w:val="28"/>
              <w:lang w:val="en-US"/>
            </w:rPr>
          </w:pPr>
          <w:r>
            <w:rPr>
              <w:rFonts w:cs="Times New Roman" w:ascii="Times New Roman" w:hAnsi="Times New Roman"/>
              <w:b/>
              <w:sz w:val="28"/>
              <w:szCs w:val="28"/>
              <w:lang w:val="en-US"/>
            </w:rPr>
            <w:t xml:space="preserve">KẾ HOẠCH HACCP </w:t>
          </w:r>
        </w:p>
        <w:p>
          <w:pPr>
            <w:pStyle w:val="Heading1"/>
            <w:ind w:hanging="0" w:start="0"/>
            <w:rPr>
              <w:rFonts w:ascii="Times New Roman" w:hAnsi="Times New Roman" w:cs="Times New Roman"/>
              <w:b/>
              <w:bCs/>
              <w:szCs w:val="28"/>
              <w:lang w:val="en-US"/>
            </w:rPr>
          </w:pPr>
          <w:r>
            <w:rPr>
              <w:rFonts w:cs="Times New Roman" w:ascii="Times New Roman" w:hAnsi="Times New Roman"/>
              <w:b/>
              <w:sz w:val="28"/>
              <w:szCs w:val="28"/>
              <w:lang w:val="en-US"/>
            </w:rPr>
            <w:t>BÁNH ĐẬU XANH</w:t>
          </w:r>
        </w:p>
        <w:p>
          <w:pPr>
            <w:pStyle w:val="Normal"/>
            <w:rPr>
              <w:rFonts w:ascii="Times New Roman" w:hAnsi="Times New Roman" w:cs="Times New Roman"/>
              <w:b w:val="false"/>
              <w:bCs w:val="false"/>
              <w:szCs w:val="28"/>
              <w:lang w:val="en-US"/>
            </w:rPr>
          </w:pPr>
          <w:r>
            <w:rPr>
              <w:rFonts w:cs="Times New Roman" w:ascii="Times New Roman" w:hAnsi="Times New Roman"/>
              <w:b w:val="false"/>
              <w:bCs w:val="false"/>
              <w:szCs w:val="28"/>
              <w:lang w:val="en-US"/>
            </w:rPr>
          </w:r>
        </w:p>
      </w:tc>
      <w:tc>
        <w:tcPr>
          <w:tcW w:w="2876" w:type="dxa"/>
          <w:tcBorders>
            <w:top w:val="double" w:sz="4" w:space="0" w:color="000000"/>
            <w:start w:val="double" w:sz="4" w:space="0" w:color="000000"/>
            <w:bottom w:val="double" w:sz="4" w:space="0" w:color="000000"/>
            <w:end w:val="double" w:sz="4" w:space="0" w:color="000000"/>
          </w:tcBorders>
          <w:vAlign w:val="center"/>
        </w:tcPr>
        <w:p>
          <w:pPr>
            <w:pStyle w:val="Normal"/>
            <w:tabs>
              <w:tab w:val="clear" w:pos="720"/>
              <w:tab w:val="center" w:pos="4320" w:leader="none"/>
              <w:tab w:val="right" w:pos="8640" w:leader="none"/>
            </w:tabs>
            <w:jc w:val="both"/>
            <w:rPr>
              <w:rFonts w:ascii="Times New Roman" w:hAnsi="Times New Roman" w:cs="Times New Roman"/>
              <w:b w:val="false"/>
              <w:bCs w:val="false"/>
              <w:i/>
              <w:sz w:val="22"/>
            </w:rPr>
          </w:pPr>
          <w:r>
            <w:rPr>
              <w:rFonts w:cs="Times New Roman" w:ascii="Times New Roman" w:hAnsi="Times New Roman"/>
              <w:b w:val="false"/>
              <w:bCs w:val="false"/>
              <w:i/>
              <w:sz w:val="22"/>
            </w:rPr>
            <w:t>Mã số: KH.HACCP.01</w:t>
          </w:r>
        </w:p>
        <w:p>
          <w:pPr>
            <w:pStyle w:val="Normal"/>
            <w:tabs>
              <w:tab w:val="clear" w:pos="720"/>
              <w:tab w:val="center" w:pos="4320" w:leader="none"/>
              <w:tab w:val="right" w:pos="8640" w:leader="none"/>
            </w:tabs>
            <w:jc w:val="both"/>
            <w:rPr>
              <w:rFonts w:ascii="Times New Roman" w:hAnsi="Times New Roman" w:cs="Times New Roman"/>
              <w:b w:val="false"/>
              <w:bCs w:val="false"/>
              <w:i/>
              <w:sz w:val="22"/>
            </w:rPr>
          </w:pPr>
          <w:r>
            <w:rPr>
              <w:rFonts w:cs="Times New Roman" w:ascii="Times New Roman" w:hAnsi="Times New Roman"/>
              <w:b w:val="false"/>
              <w:bCs w:val="false"/>
              <w:i/>
              <w:sz w:val="22"/>
            </w:rPr>
            <w:t>Ban hành:  01</w:t>
          </w:r>
        </w:p>
        <w:p>
          <w:pPr>
            <w:pStyle w:val="Header"/>
            <w:jc w:val="both"/>
            <w:rPr>
              <w:rFonts w:ascii="Times New Roman" w:hAnsi="Times New Roman" w:cs="Times New Roman"/>
              <w:b w:val="false"/>
              <w:bCs w:val="false"/>
              <w:i/>
              <w:sz w:val="22"/>
              <w:lang w:val="en-US"/>
            </w:rPr>
          </w:pPr>
          <w:r>
            <w:rPr>
              <w:rFonts w:cs="Times New Roman" w:ascii="Times New Roman" w:hAnsi="Times New Roman"/>
              <w:b w:val="false"/>
              <w:bCs w:val="false"/>
              <w:i/>
              <w:sz w:val="22"/>
              <w:lang w:val="en-US"/>
            </w:rPr>
            <w:t>Ngày ban hành: 1/8/2020</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3006"/>
      <w:gridCol w:w="3865"/>
      <w:gridCol w:w="2876"/>
    </w:tblGrid>
    <w:tr>
      <w:trPr>
        <w:trHeight w:val="1057" w:hRule="atLeast"/>
      </w:trPr>
      <w:tc>
        <w:tcPr>
          <w:tcW w:w="3006" w:type="dxa"/>
          <w:tcBorders>
            <w:top w:val="double" w:sz="4" w:space="0" w:color="000000"/>
            <w:start w:val="double" w:sz="4" w:space="0" w:color="000000"/>
            <w:bottom w:val="double" w:sz="4" w:space="0" w:color="000000"/>
            <w:end w:val="double" w:sz="4" w:space="0" w:color="000000"/>
          </w:tcBorders>
          <w:vAlign w:val="center"/>
        </w:tcPr>
        <w:p>
          <w:pPr>
            <w:pStyle w:val="Header"/>
            <w:jc w:val="center"/>
            <w:rPr>
              <w:rFonts w:ascii="Times New Roman" w:hAnsi="Times New Roman" w:cs="Times New Roman"/>
              <w:sz w:val="32"/>
              <w:szCs w:val="32"/>
              <w:lang w:val="en-US"/>
            </w:rPr>
          </w:pPr>
          <w:r>
            <w:rPr>
              <w:rFonts w:cs="Times New Roman" w:ascii="Times New Roman" w:hAnsi="Times New Roman"/>
              <w:sz w:val="32"/>
              <w:szCs w:val="32"/>
              <w:lang w:val="en-US"/>
            </w:rPr>
            <w:t>HOÀNG GIANG</w:t>
          </w:r>
        </w:p>
      </w:tc>
      <w:tc>
        <w:tcPr>
          <w:tcW w:w="3865" w:type="dxa"/>
          <w:tcBorders>
            <w:top w:val="double" w:sz="4" w:space="0" w:color="000000"/>
            <w:start w:val="double" w:sz="4" w:space="0" w:color="000000"/>
            <w:bottom w:val="double" w:sz="4" w:space="0" w:color="000000"/>
            <w:end w:val="double" w:sz="4" w:space="0" w:color="000000"/>
          </w:tcBorders>
          <w:vAlign w:val="center"/>
        </w:tcPr>
        <w:p>
          <w:pPr>
            <w:pStyle w:val="Heading1"/>
            <w:snapToGrid w:val="false"/>
            <w:ind w:hanging="0" w:start="0"/>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Heading1"/>
            <w:ind w:hanging="0" w:start="0"/>
            <w:rPr>
              <w:rFonts w:ascii="Times New Roman" w:hAnsi="Times New Roman" w:cs="Times New Roman"/>
              <w:b/>
              <w:sz w:val="28"/>
              <w:szCs w:val="28"/>
              <w:lang w:val="en-US"/>
            </w:rPr>
          </w:pPr>
          <w:r>
            <w:rPr>
              <w:rFonts w:cs="Times New Roman" w:ascii="Times New Roman" w:hAnsi="Times New Roman"/>
              <w:b/>
              <w:sz w:val="28"/>
              <w:szCs w:val="28"/>
              <w:lang w:val="en-US"/>
            </w:rPr>
            <w:t xml:space="preserve">KẾ HOẠCH HACCP </w:t>
          </w:r>
        </w:p>
        <w:p>
          <w:pPr>
            <w:pStyle w:val="Heading1"/>
            <w:ind w:hanging="0" w:start="0"/>
            <w:rPr>
              <w:rFonts w:ascii="Times New Roman" w:hAnsi="Times New Roman" w:cs="Times New Roman"/>
              <w:b/>
              <w:sz w:val="28"/>
              <w:szCs w:val="28"/>
              <w:lang w:val="en-US"/>
            </w:rPr>
          </w:pPr>
          <w:r>
            <w:rPr>
              <w:rFonts w:cs="Times New Roman" w:ascii="Times New Roman" w:hAnsi="Times New Roman"/>
              <w:b/>
              <w:sz w:val="28"/>
              <w:szCs w:val="28"/>
              <w:lang w:val="en-US"/>
            </w:rPr>
            <w:t>BÁNH ĐẬU XANH</w:t>
          </w:r>
        </w:p>
        <w:p>
          <w:pPr>
            <w:pStyle w:val="Normal"/>
            <w:rPr>
              <w:rFonts w:ascii="Times New Roman" w:hAnsi="Times New Roman" w:cs="Times New Roman"/>
              <w:b w:val="false"/>
              <w:bCs w:val="false"/>
              <w:szCs w:val="28"/>
              <w:lang w:val="en-US"/>
            </w:rPr>
          </w:pPr>
          <w:r>
            <w:rPr>
              <w:rFonts w:cs="Times New Roman" w:ascii="Times New Roman" w:hAnsi="Times New Roman"/>
              <w:b w:val="false"/>
              <w:bCs w:val="false"/>
              <w:szCs w:val="28"/>
              <w:lang w:val="en-US"/>
            </w:rPr>
          </w:r>
        </w:p>
      </w:tc>
      <w:tc>
        <w:tcPr>
          <w:tcW w:w="2876" w:type="dxa"/>
          <w:tcBorders>
            <w:top w:val="double" w:sz="4" w:space="0" w:color="000000"/>
            <w:start w:val="double" w:sz="4" w:space="0" w:color="000000"/>
            <w:bottom w:val="double" w:sz="4" w:space="0" w:color="000000"/>
            <w:end w:val="double" w:sz="4" w:space="0" w:color="000000"/>
          </w:tcBorders>
          <w:vAlign w:val="center"/>
        </w:tcPr>
        <w:p>
          <w:pPr>
            <w:pStyle w:val="Normal"/>
            <w:tabs>
              <w:tab w:val="clear" w:pos="720"/>
              <w:tab w:val="center" w:pos="4320" w:leader="none"/>
              <w:tab w:val="right" w:pos="8640" w:leader="none"/>
            </w:tabs>
            <w:jc w:val="both"/>
            <w:rPr/>
          </w:pPr>
          <w:r>
            <w:rPr>
              <w:rFonts w:cs="Times New Roman" w:ascii="Times New Roman" w:hAnsi="Times New Roman"/>
              <w:b w:val="false"/>
              <w:bCs w:val="false"/>
              <w:i/>
              <w:sz w:val="22"/>
            </w:rPr>
            <w:t>Mã số: KH.HACCP.01</w:t>
          </w:r>
        </w:p>
        <w:p>
          <w:pPr>
            <w:pStyle w:val="Normal"/>
            <w:tabs>
              <w:tab w:val="clear" w:pos="720"/>
              <w:tab w:val="center" w:pos="4320" w:leader="none"/>
              <w:tab w:val="right" w:pos="8640" w:leader="none"/>
            </w:tabs>
            <w:jc w:val="both"/>
            <w:rPr/>
          </w:pPr>
          <w:r>
            <w:rPr>
              <w:rFonts w:cs="Times New Roman" w:ascii="Times New Roman" w:hAnsi="Times New Roman"/>
              <w:b w:val="false"/>
              <w:bCs w:val="false"/>
              <w:i/>
              <w:sz w:val="22"/>
            </w:rPr>
            <w:t>Ban hành:  01</w:t>
          </w:r>
        </w:p>
        <w:p>
          <w:pPr>
            <w:pStyle w:val="Header"/>
            <w:jc w:val="both"/>
            <w:rPr/>
          </w:pPr>
          <w:r>
            <w:rPr>
              <w:rFonts w:cs="Times New Roman" w:ascii="Times New Roman" w:hAnsi="Times New Roman"/>
              <w:b w:val="false"/>
              <w:bCs w:val="false"/>
              <w:i/>
              <w:sz w:val="22"/>
              <w:lang w:val="en-US"/>
            </w:rPr>
            <w:t>Ngày ban hành: 1/8/2020</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5"/>
      <w:numFmt w:val="bullet"/>
      <w:lvlText w:val="-"/>
      <w:lvlJc w:val="start"/>
      <w:pPr>
        <w:tabs>
          <w:tab w:val="num" w:pos="0"/>
        </w:tabs>
        <w:ind w:start="501" w:hanging="360"/>
      </w:pPr>
      <w:rPr>
        <w:rFonts w:ascii="Times New Roman" w:hAnsi="Times New Roman" w:cs="Times New Roman" w:hint="default"/>
      </w:rPr>
    </w:lvl>
  </w:abstractNum>
  <w:abstractNum w:abstractNumId="3">
    <w:lvl w:ilvl="0">
      <w:start w:val="1"/>
      <w:numFmt w:val="decimal"/>
      <w:lvlText w:val="%1."/>
      <w:lvlJc w:val="start"/>
      <w:pPr>
        <w:tabs>
          <w:tab w:val="num" w:pos="0"/>
        </w:tabs>
        <w:ind w:start="360" w:hanging="360"/>
      </w:pPr>
      <w:rPr>
        <w:b/>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b/>
      <w:bCs/>
      <w:color w:val="auto"/>
      <w:sz w:val="28"/>
      <w:szCs w:val="24"/>
      <w:lang w:bidi="ar-SA" w:val="en-US" w:eastAsia="zh-CN"/>
    </w:rPr>
  </w:style>
  <w:style w:type="paragraph" w:styleId="Heading1">
    <w:name w:val="heading 1"/>
    <w:basedOn w:val="Normal"/>
    <w:next w:val="Normal"/>
    <w:qFormat/>
    <w:pPr>
      <w:keepNext w:val="true"/>
      <w:numPr>
        <w:ilvl w:val="0"/>
        <w:numId w:val="1"/>
      </w:numPr>
      <w:jc w:val="center"/>
      <w:outlineLvl w:val="0"/>
    </w:pPr>
    <w:rPr>
      <w:rFonts w:ascii=".VnArial NarrowH" w:hAnsi=".VnArial NarrowH" w:cs=".VnArial NarrowH"/>
      <w:b w:val="false"/>
      <w:bCs w:val="false"/>
      <w:sz w:val="32"/>
      <w:lang w:val="en-US"/>
    </w:rPr>
  </w:style>
  <w:style w:type="paragraph" w:styleId="Heading2">
    <w:name w:val="heading 2"/>
    <w:basedOn w:val="Normal"/>
    <w:next w:val="Normal"/>
    <w:qFormat/>
    <w:pPr>
      <w:keepNext w:val="true"/>
      <w:numPr>
        <w:ilvl w:val="1"/>
        <w:numId w:val="1"/>
      </w:numPr>
      <w:jc w:val="center"/>
      <w:outlineLvl w:val="1"/>
    </w:pPr>
    <w:rPr>
      <w:rFonts w:ascii=".VnTimeH" w:hAnsi=".VnTimeH" w:cs=".VnTimeH"/>
      <w:sz w:val="22"/>
    </w:rPr>
  </w:style>
  <w:style w:type="paragraph" w:styleId="Heading3">
    <w:name w:val="heading 3"/>
    <w:basedOn w:val="Normal"/>
    <w:next w:val="Normal"/>
    <w:qFormat/>
    <w:pPr>
      <w:keepNext w:val="true"/>
      <w:numPr>
        <w:ilvl w:val="2"/>
        <w:numId w:val="1"/>
      </w:numPr>
      <w:jc w:val="center"/>
      <w:outlineLvl w:val="2"/>
    </w:pPr>
    <w:rPr>
      <w:b w:val="false"/>
      <w:bCs w:val="false"/>
      <w:lang w:val="en-US"/>
    </w:rPr>
  </w:style>
  <w:style w:type="paragraph" w:styleId="Heading4">
    <w:name w:val="heading 4"/>
    <w:basedOn w:val="Normal"/>
    <w:next w:val="Normal"/>
    <w:qFormat/>
    <w:pPr>
      <w:keepNext w:val="true"/>
      <w:numPr>
        <w:ilvl w:val="3"/>
        <w:numId w:val="1"/>
      </w:numPr>
      <w:jc w:val="center"/>
      <w:outlineLvl w:val="3"/>
    </w:pPr>
    <w:rPr>
      <w:rFonts w:ascii=".VnArial NarrowH" w:hAnsi=".VnArial NarrowH" w:cs=".VnArial NarrowH"/>
      <w:b w:val="false"/>
      <w:bCs w:val="false"/>
      <w:sz w:val="36"/>
      <w:lang w:val="en-US"/>
    </w:rPr>
  </w:style>
  <w:style w:type="paragraph" w:styleId="Heading5">
    <w:name w:val="heading 5"/>
    <w:basedOn w:val="Normal"/>
    <w:next w:val="Normal"/>
    <w:qFormat/>
    <w:pPr>
      <w:keepNext w:val="true"/>
      <w:numPr>
        <w:ilvl w:val="4"/>
        <w:numId w:val="1"/>
      </w:numPr>
      <w:jc w:val="center"/>
      <w:outlineLvl w:val="4"/>
    </w:pPr>
    <w:rPr>
      <w:b w:val="false"/>
      <w:bCs w:val="false"/>
      <w:sz w:val="30"/>
      <w:szCs w:val="24"/>
      <w:u w:val="single"/>
    </w:rPr>
  </w:style>
  <w:style w:type="paragraph" w:styleId="Heading6">
    <w:name w:val="heading 6"/>
    <w:basedOn w:val="Normal"/>
    <w:next w:val="Normal"/>
    <w:qFormat/>
    <w:pPr>
      <w:keepNext w:val="true"/>
      <w:numPr>
        <w:ilvl w:val="5"/>
        <w:numId w:val="1"/>
      </w:numPr>
      <w:outlineLvl w:val="5"/>
    </w:pPr>
    <w:rPr>
      <w:b w:val="false"/>
      <w:bCs w:val="false"/>
      <w:szCs w:val="24"/>
    </w:rPr>
  </w:style>
  <w:style w:type="paragraph" w:styleId="Heading7">
    <w:name w:val="heading 7"/>
    <w:basedOn w:val="Normal"/>
    <w:next w:val="Normal"/>
    <w:qFormat/>
    <w:pPr>
      <w:keepNext w:val="true"/>
      <w:numPr>
        <w:ilvl w:val="6"/>
        <w:numId w:val="1"/>
      </w:numPr>
      <w:jc w:val="both"/>
      <w:outlineLvl w:val="6"/>
    </w:pPr>
    <w:rPr/>
  </w:style>
  <w:style w:type="paragraph" w:styleId="Heading8">
    <w:name w:val="heading 8"/>
    <w:basedOn w:val="Normal"/>
    <w:next w:val="Normal"/>
    <w:qFormat/>
    <w:pPr>
      <w:keepNext w:val="true"/>
      <w:numPr>
        <w:ilvl w:val="7"/>
        <w:numId w:val="1"/>
      </w:numPr>
      <w:jc w:val="center"/>
      <w:outlineLvl w:val="7"/>
    </w:pPr>
    <w:rPr>
      <w:rFonts w:ascii=".VnTimeH" w:hAnsi=".VnTimeH" w:cs=".VnTimeH"/>
      <w:sz w:val="48"/>
    </w:rPr>
  </w:style>
  <w:style w:type="paragraph" w:styleId="Heading9">
    <w:name w:val="heading 9"/>
    <w:basedOn w:val="Normal"/>
    <w:next w:val="Normal"/>
    <w:qFormat/>
    <w:pPr>
      <w:keepNext w:val="true"/>
      <w:numPr>
        <w:ilvl w:val="8"/>
        <w:numId w:val="1"/>
      </w:numPr>
      <w:jc w:val="cente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6z1">
    <w:name w:val="WW8Num16z1"/>
    <w:qFormat/>
    <w:rPr>
      <w:b/>
    </w:rPr>
  </w:style>
  <w:style w:type="character" w:styleId="WW8Num17z0">
    <w:name w:val="WW8Num17z0"/>
    <w:qFormat/>
    <w:rPr>
      <w:rFonts w:ascii="Times New Roman" w:hAnsi="Times New Roman" w:eastAsia="Times New Roman" w:cs="Times New Roman"/>
      <w:b/>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style>
  <w:style w:type="character" w:styleId="WW8Num21z3">
    <w:name w:val="WW8Num21z3"/>
    <w:qFormat/>
    <w:rPr>
      <w:rFonts w:ascii="Times New Roman" w:hAnsi="Times New Roman" w:eastAsia="Times New Roman" w:cs="Times New Roman"/>
    </w:rPr>
  </w:style>
  <w:style w:type="character" w:styleId="WW8Num22z0">
    <w:name w:val="WW8Num22z0"/>
    <w:qFormat/>
    <w:rPr/>
  </w:style>
  <w:style w:type="character" w:styleId="WW8Num23z0">
    <w:name w:val="WW8Num23z0"/>
    <w:qFormat/>
    <w:rPr/>
  </w:style>
  <w:style w:type="character" w:styleId="WW8Num24z0">
    <w:name w:val="WW8Num24z0"/>
    <w:qFormat/>
    <w:rPr>
      <w:b/>
    </w:rPr>
  </w:style>
  <w:style w:type="character" w:styleId="WW8Num26z0">
    <w:name w:val="WW8Num26z0"/>
    <w:qFormat/>
    <w:rPr>
      <w:b/>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qFormat/>
    <w:rPr>
      <w:rFonts w:ascii=".VnArial NarrowH" w:hAnsi=".VnArial NarrowH" w:cs=".VnArial NarrowH"/>
      <w:sz w:val="32"/>
      <w:szCs w:val="24"/>
    </w:rPr>
  </w:style>
  <w:style w:type="character" w:styleId="Heading3Char">
    <w:name w:val="Heading 3 Char"/>
    <w:qFormat/>
    <w:rPr>
      <w:rFonts w:ascii=".VnTime" w:hAnsi=".VnTime" w:cs=".VnTime"/>
      <w:sz w:val="28"/>
      <w:szCs w:val="24"/>
    </w:rPr>
  </w:style>
  <w:style w:type="character" w:styleId="Heading4Char">
    <w:name w:val="Heading 4 Char"/>
    <w:qFormat/>
    <w:rPr>
      <w:rFonts w:ascii=".VnArial NarrowH" w:hAnsi=".VnArial NarrowH" w:cs=".VnArial NarrowH"/>
      <w:sz w:val="36"/>
      <w:szCs w:val="24"/>
    </w:rPr>
  </w:style>
  <w:style w:type="character" w:styleId="HeaderChar">
    <w:name w:val="Header Char"/>
    <w:qFormat/>
    <w:rPr>
      <w:rFonts w:ascii=".VnTime" w:hAnsi=".VnTime" w:cs=".VnTime"/>
      <w:b/>
      <w:bCs/>
      <w:sz w:val="28"/>
      <w:szCs w:val="24"/>
    </w:rPr>
  </w:style>
  <w:style w:type="character" w:styleId="FooterChar">
    <w:name w:val="Footer Char"/>
    <w:qFormat/>
    <w:rPr>
      <w:rFonts w:ascii=".VnTime" w:hAnsi=".VnTime" w:cs=".VnTime"/>
      <w:b/>
      <w:bCs/>
      <w:sz w:val="28"/>
      <w:szCs w:val="24"/>
    </w:rPr>
  </w:style>
  <w:style w:type="character" w:styleId="BodyText2Char">
    <w:name w:val="Body Text 2 Char"/>
    <w:qFormat/>
    <w:rPr>
      <w:rFonts w:ascii=".VnTime" w:hAnsi=".VnTime" w:cs=".VnTime"/>
      <w:sz w:val="28"/>
      <w:szCs w:val="24"/>
    </w:rPr>
  </w:style>
  <w:style w:type="character" w:styleId="BodyTextIndent2Char">
    <w:name w:val="Body Text Indent 2 Char"/>
    <w:qFormat/>
    <w:rPr>
      <w:rFonts w:ascii=".VnTime" w:hAnsi=".VnTime" w:cs=".VnTime"/>
      <w:sz w:val="28"/>
      <w:szCs w:val="24"/>
    </w:rPr>
  </w:style>
  <w:style w:type="character" w:styleId="TitleChar">
    <w:name w:val="Title Char"/>
    <w:qFormat/>
    <w:rPr>
      <w:rFonts w:ascii=".VnTimeH" w:hAnsi=".VnTimeH" w:cs=".VnTimeH"/>
      <w:b/>
      <w:bCs/>
      <w:sz w:val="24"/>
      <w:szCs w:val="24"/>
    </w:rPr>
  </w:style>
  <w:style w:type="character" w:styleId="SubtitleChar">
    <w:name w:val="Subtitle Char"/>
    <w:qFormat/>
    <w:rPr>
      <w:rFonts w:ascii=".VnTime" w:hAnsi=".VnTime" w:cs=".VnTime"/>
      <w:b/>
      <w:bCs/>
      <w:sz w:val="24"/>
      <w:szCs w:val="24"/>
    </w:rPr>
  </w:style>
  <w:style w:type="character" w:styleId="BodyTextIndent3Char">
    <w:name w:val="Body Text Indent 3 Char"/>
    <w:qFormat/>
    <w:rPr>
      <w:rFonts w:ascii=".VnTime" w:hAnsi=".VnTime" w:cs=".VnTime"/>
      <w:b/>
      <w:bCs/>
      <w:sz w:val="16"/>
      <w:szCs w:val="16"/>
    </w:rPr>
  </w:style>
  <w:style w:type="character" w:styleId="Strong">
    <w:name w:val="Strong"/>
    <w:qFormat/>
    <w:rPr>
      <w:b/>
      <w:bCs/>
    </w:rPr>
  </w:style>
  <w:style w:type="character" w:styleId="BalloonTextChar">
    <w:name w:val="Balloon Text Char"/>
    <w:qFormat/>
    <w:rPr>
      <w:rFonts w:ascii="Segoe UI" w:hAnsi="Segoe UI" w:cs="Segoe UI"/>
      <w:b/>
      <w:bCs/>
      <w:sz w:val="18"/>
      <w:szCs w:val="18"/>
    </w:rPr>
  </w:style>
  <w:style w:type="paragraph" w:styleId="Heading">
    <w:name w:val="Heading"/>
    <w:basedOn w:val="Normal"/>
    <w:next w:val="BodyText"/>
    <w:qFormat/>
    <w:pPr>
      <w:jc w:val="center"/>
    </w:pPr>
    <w:rPr>
      <w:rFonts w:ascii=".VnTimeH" w:hAnsi=".VnTimeH" w:cs=".VnTimeH"/>
      <w:sz w:val="24"/>
      <w:lang w:val="en-US"/>
    </w:rPr>
  </w:style>
  <w:style w:type="paragraph" w:styleId="BodyText">
    <w:name w:val="Body Text"/>
    <w:basedOn w:val="Normal"/>
    <w:pPr>
      <w:jc w:val="both"/>
    </w:pPr>
    <w:rPr>
      <w:b w:val="false"/>
      <w:bCs w:val="false"/>
    </w:rPr>
  </w:style>
  <w:style w:type="paragraph" w:styleId="List">
    <w:name w:val="List"/>
    <w:basedOn w:val="BodyText"/>
    <w:pPr/>
    <w:rPr/>
  </w:style>
  <w:style w:type="paragraph" w:styleId="Caption">
    <w:name w:val="caption"/>
    <w:basedOn w:val="Normal"/>
    <w:next w:val="Normal"/>
    <w:qFormat/>
    <w:pPr>
      <w:tabs>
        <w:tab w:val="clear" w:pos="720"/>
        <w:tab w:val="left" w:pos="1386" w:leader="none"/>
      </w:tabs>
      <w:jc w:val="end"/>
    </w:pPr>
    <w:rPr>
      <w:sz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US"/>
    </w:rPr>
  </w:style>
  <w:style w:type="paragraph" w:styleId="Footer">
    <w:name w:val="footer"/>
    <w:basedOn w:val="Normal"/>
    <w:pPr>
      <w:tabs>
        <w:tab w:val="clear" w:pos="720"/>
        <w:tab w:val="center" w:pos="4320" w:leader="none"/>
        <w:tab w:val="right" w:pos="8640" w:leader="none"/>
      </w:tabs>
    </w:pPr>
    <w:rPr>
      <w:lang w:val="en-US"/>
    </w:rPr>
  </w:style>
  <w:style w:type="paragraph" w:styleId="BodyTextIndent">
    <w:name w:val="Body Text Indent"/>
    <w:basedOn w:val="Normal"/>
    <w:pPr>
      <w:ind w:firstLine="720" w:start="0" w:end="0"/>
    </w:pPr>
    <w:rPr>
      <w:b w:val="false"/>
      <w:bCs w:val="false"/>
    </w:rPr>
  </w:style>
  <w:style w:type="paragraph" w:styleId="BodyText2">
    <w:name w:val="Body Text 2"/>
    <w:basedOn w:val="Normal"/>
    <w:qFormat/>
    <w:pPr/>
    <w:rPr>
      <w:b w:val="false"/>
      <w:bCs w:val="false"/>
      <w:lang w:val="en-US"/>
    </w:rPr>
  </w:style>
  <w:style w:type="paragraph" w:styleId="BodyTextIndent2">
    <w:name w:val="Body Text Indent 2"/>
    <w:basedOn w:val="Normal"/>
    <w:qFormat/>
    <w:pPr>
      <w:ind w:hanging="0" w:start="720" w:end="0"/>
    </w:pPr>
    <w:rPr>
      <w:b w:val="false"/>
      <w:bCs w:val="false"/>
      <w:lang w:val="en-US"/>
    </w:rPr>
  </w:style>
  <w:style w:type="paragraph" w:styleId="Subtitle">
    <w:name w:val="Subtitle"/>
    <w:basedOn w:val="Normal"/>
    <w:next w:val="BodyText"/>
    <w:qFormat/>
    <w:pPr/>
    <w:rPr>
      <w:sz w:val="24"/>
      <w:lang w:val="en-US"/>
    </w:rPr>
  </w:style>
  <w:style w:type="paragraph" w:styleId="BodyTextIndent3">
    <w:name w:val="Body Text Indent 3"/>
    <w:basedOn w:val="Normal"/>
    <w:qFormat/>
    <w:pPr>
      <w:spacing w:before="0" w:after="120"/>
      <w:ind w:hanging="0" w:start="360" w:end="0"/>
    </w:pPr>
    <w:rPr>
      <w:sz w:val="16"/>
      <w:szCs w:val="16"/>
      <w:lang w:val="en-US"/>
    </w:rPr>
  </w:style>
  <w:style w:type="paragraph" w:styleId="BalloonText">
    <w:name w:val="Balloon Text"/>
    <w:basedOn w:val="Normal"/>
    <w:qFormat/>
    <w:pPr/>
    <w:rPr>
      <w:rFonts w:ascii="Segoe UI" w:hAnsi="Segoe UI" w:cs="Segoe UI"/>
      <w:sz w:val="18"/>
      <w:szCs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2020-09-14T07:48:00Z</dcterms:created>
  <dc:creator>hung</dc:creator>
  <dc:description/>
  <cp:keywords/>
  <dc:language>en-US</dc:language>
  <cp:lastModifiedBy>Admin</cp:lastModifiedBy>
  <cp:lastPrinted>2025-06-24T11:24:00Z</cp:lastPrinted>
  <dcterms:modified xsi:type="dcterms:W3CDTF">2025-06-26T07:11:00Z</dcterms:modified>
  <cp:revision>23</cp:revision>
  <dc:subject/>
  <dc:title>1- Môc lôc</dc:title>
</cp:coreProperties>
</file>