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915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5"/>
        <w:gridCol w:w="5670"/>
      </w:tblGrid>
      <w:tr>
        <w:trPr>
          <w:trHeight w:val="1152" w:hRule="atLeast"/>
          <w:cantSplit w:val="true"/>
        </w:trPr>
        <w:tc>
          <w:tcPr>
            <w:tcW w:w="10915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18" w:space="0" w:color="000000"/>
            </w:tcBorders>
            <w:vAlign w:val="center"/>
          </w:tcPr>
          <w:p>
            <w:pPr>
              <w:pStyle w:val="BodyTex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b/>
                <w:sz w:val="36"/>
                <w:szCs w:val="36"/>
              </w:rPr>
              <w:t xml:space="preserve">                                </w:t>
            </w:r>
          </w:p>
          <w:p>
            <w:pPr>
              <w:pStyle w:val="BodyTex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b/>
                <w:sz w:val="36"/>
                <w:szCs w:val="36"/>
              </w:rPr>
              <w:t xml:space="preserve">                          </w:t>
            </w:r>
            <w:r>
              <w:rPr>
                <w:rFonts w:cs="Times New Roman" w:ascii="Times New Roman" w:hAnsi="Times New Roman"/>
                <w:b/>
                <w:sz w:val="36"/>
                <w:szCs w:val="36"/>
              </w:rPr>
              <w:t>CÔNG TY CỔ PHẦN HOÀNG GIANG</w:t>
            </w:r>
          </w:p>
        </w:tc>
      </w:tr>
      <w:tr>
        <w:trPr>
          <w:trHeight w:val="7340" w:hRule="atLeast"/>
          <w:cantSplit w:val="true"/>
        </w:trPr>
        <w:tc>
          <w:tcPr>
            <w:tcW w:w="10915" w:type="dxa"/>
            <w:gridSpan w:val="2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18" w:space="0" w:color="000000"/>
            </w:tcBorders>
            <w:vAlign w:val="center"/>
          </w:tcPr>
          <w:p>
            <w:pPr>
              <w:pStyle w:val="BodyText"/>
              <w:snapToGrid w:val="false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36"/>
                <w:szCs w:val="28"/>
              </w:rPr>
            </w:r>
          </w:p>
          <w:p>
            <w:pPr>
              <w:pStyle w:val="BodyText"/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36"/>
                <w:szCs w:val="28"/>
              </w:rPr>
            </w:r>
          </w:p>
          <w:p>
            <w:pPr>
              <w:pStyle w:val="BodyText"/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36"/>
                <w:szCs w:val="28"/>
              </w:rPr>
            </w:r>
          </w:p>
          <w:p>
            <w:pPr>
              <w:pStyle w:val="BodyText"/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36"/>
                <w:szCs w:val="28"/>
              </w:rPr>
            </w:r>
          </w:p>
          <w:p>
            <w:pPr>
              <w:pStyle w:val="BodyText"/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36"/>
                <w:szCs w:val="28"/>
              </w:rPr>
            </w:r>
          </w:p>
          <w:p>
            <w:pPr>
              <w:pStyle w:val="BodyText"/>
              <w:jc w:val="center"/>
              <w:rPr/>
            </w:pPr>
            <w:r>
              <w:rPr/>
              <w:drawing>
                <wp:inline distT="0" distB="0" distL="0" distR="0">
                  <wp:extent cx="1561465" cy="156146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9" t="-9" r="-9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1465" cy="1561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  <w:jc w:val="center"/>
              <w:rPr/>
            </w:pPr>
            <w:r>
              <w:rPr/>
            </w:r>
          </w:p>
          <w:p>
            <w:pPr>
              <w:pStyle w:val="BodyText"/>
              <w:jc w:val="center"/>
              <w:rPr/>
            </w:pPr>
            <w:r>
              <w:rPr/>
            </w:r>
          </w:p>
          <w:p>
            <w:pPr>
              <w:pStyle w:val="BodyText"/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36"/>
                <w:szCs w:val="28"/>
              </w:rPr>
            </w:r>
          </w:p>
          <w:p>
            <w:pPr>
              <w:pStyle w:val="BodyText"/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36"/>
                <w:szCs w:val="28"/>
              </w:rPr>
              <w:t>QUY TRÌNH</w:t>
            </w:r>
          </w:p>
          <w:p>
            <w:pPr>
              <w:pStyle w:val="BodyText"/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36"/>
                <w:szCs w:val="28"/>
              </w:rPr>
              <w:t>QUẢN LÝ SẢN XUẤT</w:t>
            </w:r>
          </w:p>
          <w:p>
            <w:pPr>
              <w:pStyle w:val="BodyText"/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36"/>
                <w:szCs w:val="28"/>
              </w:rPr>
            </w:r>
          </w:p>
          <w:p>
            <w:pPr>
              <w:pStyle w:val="BodyText"/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36"/>
                <w:szCs w:val="28"/>
              </w:rPr>
            </w:r>
          </w:p>
          <w:p>
            <w:pPr>
              <w:pStyle w:val="BodyText"/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36"/>
                <w:szCs w:val="28"/>
              </w:rPr>
            </w:r>
          </w:p>
          <w:p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</w:r>
          </w:p>
          <w:p>
            <w:pPr>
              <w:pStyle w:val="BodyText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</w:r>
          </w:p>
          <w:p>
            <w:pPr>
              <w:pStyle w:val="BodyText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</w:r>
          </w:p>
        </w:tc>
      </w:tr>
      <w:tr>
        <w:trPr>
          <w:trHeight w:val="321" w:hRule="atLeast"/>
          <w:cantSplit w:val="true"/>
        </w:trPr>
        <w:tc>
          <w:tcPr>
            <w:tcW w:w="5245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cs="Times New Roman" w:ascii="Times New Roman" w:hAnsi="Times New Roman"/>
                <w:b/>
                <w:szCs w:val="28"/>
              </w:rPr>
              <w:t>Soạn thảo</w:t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BodyText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cs="Times New Roman" w:ascii="Times New Roman" w:hAnsi="Times New Roman"/>
                <w:b/>
                <w:szCs w:val="28"/>
              </w:rPr>
              <w:t>Phê duyệt</w:t>
            </w:r>
          </w:p>
        </w:tc>
      </w:tr>
      <w:tr>
        <w:trPr>
          <w:trHeight w:val="2224" w:hRule="atLeast"/>
          <w:cantSplit w:val="true"/>
        </w:trPr>
        <w:tc>
          <w:tcPr>
            <w:tcW w:w="5245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8"/>
              </w:rPr>
            </w:r>
          </w:p>
          <w:p>
            <w:pPr>
              <w:pStyle w:val="BodyText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cs="Times New Roman" w:ascii="Times New Roman" w:hAnsi="Times New Roman"/>
                <w:b/>
                <w:szCs w:val="28"/>
              </w:rPr>
            </w:r>
          </w:p>
          <w:p>
            <w:pPr>
              <w:pStyle w:val="BodyText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cs="Times New Roman" w:ascii="Times New Roman" w:hAnsi="Times New Roman"/>
                <w:b/>
                <w:szCs w:val="28"/>
              </w:rPr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  <w:vAlign w:val="bottom"/>
          </w:tcPr>
          <w:p>
            <w:pPr>
              <w:pStyle w:val="BodyText"/>
              <w:snapToGrid w:val="false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cs="Times New Roman" w:ascii="Times New Roman" w:hAnsi="Times New Roman"/>
                <w:b/>
                <w:szCs w:val="28"/>
              </w:rPr>
            </w:r>
          </w:p>
        </w:tc>
      </w:tr>
      <w:tr>
        <w:trPr>
          <w:trHeight w:val="664" w:hRule="atLeast"/>
          <w:cantSplit w:val="true"/>
        </w:trPr>
        <w:tc>
          <w:tcPr>
            <w:tcW w:w="5245" w:type="dxa"/>
            <w:tcBorders>
              <w:top w:val="single" w:sz="4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120"/>
              <w:jc w:val="center"/>
              <w:rPr>
                <w:rFonts w:ascii="Times New Roman" w:hAnsi="Times New Roman" w:cs="Times New Roman"/>
                <w:b/>
                <w:kern w:val="2"/>
                <w:szCs w:val="28"/>
              </w:rPr>
            </w:pPr>
            <w:r>
              <w:rPr>
                <w:rFonts w:cs="Times New Roman" w:ascii="Times New Roman" w:hAnsi="Times New Roman"/>
                <w:b/>
                <w:kern w:val="2"/>
                <w:szCs w:val="28"/>
              </w:rPr>
              <w:t>Nguyễn Huy Chiến</w:t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  <w:vAlign w:val="bottom"/>
          </w:tcPr>
          <w:p>
            <w:pPr>
              <w:pStyle w:val="Normal"/>
              <w:spacing w:before="120" w:after="120"/>
              <w:jc w:val="center"/>
              <w:rPr>
                <w:rFonts w:ascii="Times New Roman" w:hAnsi="Times New Roman" w:cs="Times New Roman"/>
                <w:b/>
                <w:kern w:val="2"/>
                <w:szCs w:val="28"/>
              </w:rPr>
            </w:pPr>
            <w:r>
              <w:rPr>
                <w:rFonts w:cs="Times New Roman" w:ascii="Times New Roman" w:hAnsi="Times New Roman"/>
                <w:b/>
                <w:kern w:val="2"/>
                <w:szCs w:val="28"/>
              </w:rPr>
              <w:t>Đào Văn Tiến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Heading"/>
        <w:rPr>
          <w:rFonts w:ascii="Times New Roman" w:hAnsi="Times New Roman" w:cs="Times New Roman"/>
          <w:szCs w:val="26"/>
        </w:rPr>
      </w:pPr>
      <w:r>
        <w:rPr>
          <w:rFonts w:cs="Times New Roman" w:ascii="Times New Roman" w:hAnsi="Times New Roman"/>
          <w:szCs w:val="26"/>
        </w:rPr>
      </w:r>
    </w:p>
    <w:p>
      <w:pPr>
        <w:pStyle w:val="Heading"/>
        <w:rPr>
          <w:rFonts w:ascii="Times New Roman" w:hAnsi="Times New Roman" w:cs="Times New Roman"/>
          <w:szCs w:val="26"/>
        </w:rPr>
      </w:pPr>
      <w:r>
        <w:rPr>
          <w:rFonts w:cs="Times New Roman" w:ascii="Times New Roman" w:hAnsi="Times New Roman"/>
          <w:szCs w:val="26"/>
        </w:rPr>
        <w:t>BẢNG THEO DÕI SỬA ĐỔI TÀI LIỆU</w:t>
      </w:r>
    </w:p>
    <w:p>
      <w:pPr>
        <w:pStyle w:val="Heading"/>
        <w:rPr>
          <w:rFonts w:ascii="Times New Roman" w:hAnsi="Times New Roman" w:cs="Times New Roman"/>
          <w:szCs w:val="26"/>
        </w:rPr>
      </w:pPr>
      <w:r>
        <w:rPr>
          <w:rFonts w:cs="Times New Roman" w:ascii="Times New Roman" w:hAnsi="Times New Roman"/>
          <w:szCs w:val="26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47"/>
        <w:gridCol w:w="4353"/>
        <w:gridCol w:w="1080"/>
        <w:gridCol w:w="1440"/>
        <w:gridCol w:w="1719"/>
      </w:tblGrid>
      <w:tr>
        <w:trPr/>
        <w:tc>
          <w:tcPr>
            <w:tcW w:w="1047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Subtitle"/>
              <w:spacing w:before="40" w:after="40"/>
              <w:jc w:val="center"/>
              <w:rPr>
                <w:rFonts w:ascii="Times New Roman" w:hAnsi="Times New Roman" w:cs="Times New Roman"/>
                <w:b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sz w:val="26"/>
                <w:szCs w:val="26"/>
              </w:rPr>
              <w:t>Ký hiệu</w:t>
            </w:r>
          </w:p>
        </w:tc>
        <w:tc>
          <w:tcPr>
            <w:tcW w:w="4353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spacing w:before="40" w:after="40"/>
              <w:ind w:hanging="0" w:start="0"/>
              <w:rPr>
                <w:rFonts w:ascii="Times New Roman" w:hAnsi="Times New Roman" w:cs="Times New Roman"/>
                <w:b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sz w:val="26"/>
                <w:szCs w:val="26"/>
              </w:rPr>
              <w:t>Tóm tắt nội dung sửa đổi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Lần sửa đổi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Trang sửa đổi</w:t>
            </w:r>
          </w:p>
        </w:tc>
        <w:tc>
          <w:tcPr>
            <w:tcW w:w="1719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Ngày sửa đổi</w:t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Bổ sung thời gian rang đỗ, ủ nguội, ủ bột</w:t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27/6/2025</w:t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Bổ sung kiểm soát khối lượng viên bánh</w:t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27/6/2025</w:t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Bổ sung, thay đổi biểu mẫu theo dõi trên phần mềm</w:t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27/6/2025</w:t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r/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r>
              <w:t>Rà soát, chuẩn hóa thuật ngữ thống nhất 'Ban ISO', sửa lỗi mã biểu mẫu và tham chiếu, cập nhật theo ISO 22000:2018.</w:t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r>
              <w:t>4</w:t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r>
              <w:t>-</w:t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r>
              <w:t>13/06/2026</w:t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Bổ sung công đoạn Rửa đỗ (xả nước 20 phút, để ráo 1 tiếng; đỗ non luộc luôn) trước khi luộc</w:t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13/06/2026</w:t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Tách công đoạn đóng gói: bổ sung bước 'Xếp khay, đóng nilon (hoặc đóng nilon, vào hộp tiểu)' giữa Tạo viên và Đóng hộp</w:t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13/06/2026</w:t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047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53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719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</w:tbl>
    <w:p>
      <w:pPr>
        <w:pStyle w:val="Normal"/>
        <w:spacing w:lineRule="auto" w:line="312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12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12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1.Mục đích.</w:t>
      </w:r>
    </w:p>
    <w:p>
      <w:pPr>
        <w:pStyle w:val="Normal"/>
        <w:spacing w:lineRule="auto" w:line="312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Quy trình này nhằm quy định trách nhiệm, trình tự việc lập kế hoạch, triển khai thực hiện kiểm soát quá trình sản xuất và kiểm tra chất l</w:t>
      </w:r>
      <w:r>
        <w:rPr>
          <w:rFonts w:cs="Times New Roman" w:hint="eastAsia" w:ascii="Times New Roman" w:hAnsi="Times New Roman"/>
          <w:sz w:val="26"/>
          <w:szCs w:val="26"/>
        </w:rPr>
        <w:t>ư</w:t>
      </w:r>
      <w:r>
        <w:rPr>
          <w:rFonts w:cs="Times New Roman" w:ascii="Times New Roman" w:hAnsi="Times New Roman"/>
          <w:sz w:val="26"/>
          <w:szCs w:val="26"/>
        </w:rPr>
        <w:t>ợng sản phẩm cuối cùng của Công ty.</w:t>
      </w:r>
    </w:p>
    <w:p>
      <w:pPr>
        <w:pStyle w:val="BodyTextIndent2"/>
        <w:spacing w:lineRule="auto" w:line="312" w:before="0" w:after="0"/>
        <w:ind w:start="0" w:end="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2. Phạm vi áp dụng.</w:t>
      </w:r>
    </w:p>
    <w:p>
      <w:pPr>
        <w:pStyle w:val="BodyTextIndent2"/>
        <w:spacing w:lineRule="auto" w:line="312" w:before="0" w:after="0"/>
        <w:ind w:firstLine="720" w:start="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Áp dụng cho các cán bộ, công nhân viên các bộ phận có liên quan đến việc tổ chức thực hiện, kiểm soát quá trình sản xuất.</w:t>
      </w:r>
    </w:p>
    <w:p>
      <w:pPr>
        <w:pStyle w:val="Normal"/>
        <w:spacing w:lineRule="auto" w:line="312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3. Tài liệu liên quan.</w:t>
      </w:r>
    </w:p>
    <w:p>
      <w:pPr>
        <w:pStyle w:val="Normal"/>
        <w:numPr>
          <w:ilvl w:val="0"/>
          <w:numId w:val="4"/>
        </w:numPr>
        <w:spacing w:lineRule="auto" w:line="31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ISO 22000: 2018 Hệ thống quản lý an toàn thực phẩm – Yêu cầu đối với các tổ chức trong chuỗi cung ứng thực phẩm</w:t>
      </w:r>
    </w:p>
    <w:p>
      <w:pPr>
        <w:pStyle w:val="Normal"/>
        <w:numPr>
          <w:ilvl w:val="0"/>
          <w:numId w:val="4"/>
        </w:numPr>
        <w:spacing w:lineRule="auto" w:line="31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TCVN 5603:2008 (CAC/RCP 1-1969, REV.4-2003) về Quy phạm thực hành về những nguyên tắc chung đối với vệ sinh thực phẩm</w:t>
      </w:r>
    </w:p>
    <w:p>
      <w:pPr>
        <w:pStyle w:val="Normal"/>
        <w:numPr>
          <w:ilvl w:val="0"/>
          <w:numId w:val="4"/>
        </w:numPr>
        <w:spacing w:lineRule="auto" w:line="31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HACCP Code 2003</w:t>
      </w:r>
    </w:p>
    <w:p>
      <w:pPr>
        <w:pStyle w:val="Normal"/>
        <w:spacing w:lineRule="auto" w:line="312"/>
        <w:rPr>
          <w:rFonts w:ascii="Times New Roman" w:hAnsi="Times New Roman" w:cs="Times New Roman"/>
          <w:b/>
          <w:sz w:val="26"/>
          <w:szCs w:val="26"/>
          <w:lang w:val="nl-NL"/>
        </w:rPr>
      </w:pPr>
      <w:r>
        <w:rPr>
          <w:rFonts w:cs="Times New Roman" w:ascii="Times New Roman" w:hAnsi="Times New Roman"/>
          <w:b/>
          <w:sz w:val="26"/>
          <w:szCs w:val="26"/>
          <w:lang w:val="nl-NL"/>
        </w:rPr>
        <w:t>4. Định nghĩa- viết tắt- ký hiệu.</w:t>
      </w:r>
    </w:p>
    <w:p>
      <w:pPr>
        <w:pStyle w:val="Normal"/>
        <w:numPr>
          <w:ilvl w:val="0"/>
          <w:numId w:val="2"/>
        </w:numPr>
        <w:spacing w:lineRule="auto" w:line="312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Tổ chức hay một cá nhân nhận một sản phẩm được gọi là khách hàng (khách hàng có thể là khách hàng nội bộ hay bên ngoài Công ty).</w:t>
      </w:r>
    </w:p>
    <w:p>
      <w:pPr>
        <w:pStyle w:val="Normal"/>
        <w:numPr>
          <w:ilvl w:val="0"/>
          <w:numId w:val="2"/>
        </w:numPr>
        <w:spacing w:lineRule="auto" w:line="312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Thoả mãn khách hàng là sự cảm nhận của khách hàng về mức độ đáp ứng yêu cầu của khách hàng.</w:t>
      </w:r>
    </w:p>
    <w:p>
      <w:pPr>
        <w:pStyle w:val="Normal"/>
        <w:numPr>
          <w:ilvl w:val="0"/>
          <w:numId w:val="2"/>
        </w:numPr>
        <w:spacing w:lineRule="auto" w:line="312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cs="Times New Roman" w:ascii="Times New Roman" w:hAnsi="Times New Roman"/>
          <w:sz w:val="26"/>
          <w:szCs w:val="26"/>
          <w:lang w:val="fr-FR"/>
        </w:rPr>
        <w:t>XSX : X</w:t>
      </w:r>
      <w:r>
        <w:rPr>
          <w:rFonts w:cs="Times New Roman" w:hint="eastAsia" w:ascii="Times New Roman" w:hAnsi="Times New Roman"/>
          <w:sz w:val="26"/>
          <w:szCs w:val="26"/>
          <w:lang w:val="fr-FR"/>
        </w:rPr>
        <w:t>ư</w:t>
      </w:r>
      <w:r>
        <w:rPr>
          <w:rFonts w:cs="Times New Roman" w:ascii="Times New Roman" w:hAnsi="Times New Roman"/>
          <w:sz w:val="26"/>
          <w:szCs w:val="26"/>
          <w:lang w:val="fr-FR"/>
        </w:rPr>
        <w:t>ởng sản xuất.</w:t>
      </w:r>
    </w:p>
    <w:p>
      <w:pPr>
        <w:pStyle w:val="Normal"/>
        <w:numPr>
          <w:ilvl w:val="0"/>
          <w:numId w:val="2"/>
        </w:numPr>
        <w:spacing w:lineRule="auto" w:line="312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Trưởng ban ISO : Trưởng ban quản lý hệ thống ISO</w:t>
      </w:r>
    </w:p>
    <w:p>
      <w:pPr>
        <w:pStyle w:val="Normal"/>
        <w:spacing w:lineRule="auto" w:line="312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cs="Times New Roman" w:ascii="Times New Roman" w:hAnsi="Times New Roman"/>
          <w:b/>
          <w:sz w:val="26"/>
          <w:szCs w:val="26"/>
          <w:lang w:val="fr-FR"/>
        </w:rPr>
        <w:t xml:space="preserve">5. Nội dung Quy trình </w:t>
      </w:r>
    </w:p>
    <w:p>
      <w:pPr>
        <w:pStyle w:val="Normal"/>
        <w:spacing w:lineRule="auto" w:line="312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cs="Times New Roman" w:ascii="Times New Roman" w:hAnsi="Times New Roman"/>
          <w:b/>
          <w:sz w:val="26"/>
          <w:szCs w:val="26"/>
          <w:lang w:val="fr-FR"/>
        </w:rPr>
      </w:r>
    </w:p>
    <w:p>
      <w:pPr>
        <w:pStyle w:val="Normal"/>
        <w:spacing w:before="120" w:after="0"/>
        <w:jc w:val="both"/>
        <w:rPr>
          <w:rFonts w:ascii="Arial" w:hAnsi="Arial" w:cs="Arial"/>
          <w:b/>
          <w:sz w:val="26"/>
          <w:szCs w:val="28"/>
          <w:lang w:val="vi-VN"/>
        </w:rPr>
      </w:pPr>
      <w:r>
        <w:rPr>
          <w:rFonts w:cs="Arial" w:ascii="Arial" w:hAnsi="Arial"/>
          <w:b/>
          <w:sz w:val="26"/>
          <w:szCs w:val="28"/>
          <w:lang w:val="vi-VN"/>
        </w:rPr>
      </w:r>
    </w:p>
    <w:p>
      <w:pPr>
        <w:pStyle w:val="Normal"/>
        <w:spacing w:before="120" w:after="0"/>
        <w:jc w:val="both"/>
        <w:rPr>
          <w:rFonts w:ascii="Arial" w:hAnsi="Arial" w:cs="Arial"/>
          <w:b/>
          <w:sz w:val="26"/>
          <w:szCs w:val="28"/>
          <w:lang w:val="fr-FR"/>
        </w:rPr>
      </w:pPr>
      <w:r>
        <w:rPr>
          <w:rFonts w:cs="Arial" w:ascii="Arial" w:hAnsi="Arial"/>
          <w:b/>
          <w:sz w:val="26"/>
          <w:szCs w:val="28"/>
          <w:lang w:val="fr-FR"/>
        </w:rPr>
      </w:r>
    </w:p>
    <w:p>
      <w:pPr>
        <w:pStyle w:val="Normal"/>
        <w:spacing w:before="120" w:after="0"/>
        <w:jc w:val="both"/>
        <w:rPr>
          <w:b/>
          <w:sz w:val="26"/>
          <w:szCs w:val="28"/>
          <w:lang w:val="fr-FR"/>
        </w:rPr>
      </w:pPr>
      <w:r>
        <w:rPr>
          <w:b/>
          <w:sz w:val="26"/>
          <w:szCs w:val="28"/>
          <w:lang w:val="fr-FR"/>
        </w:rPr>
      </w:r>
    </w:p>
    <w:p>
      <w:pPr>
        <w:pStyle w:val="Normal"/>
        <w:spacing w:before="120" w:after="0"/>
        <w:jc w:val="both"/>
        <w:rPr>
          <w:b/>
          <w:sz w:val="26"/>
          <w:szCs w:val="28"/>
          <w:lang w:val="fr-FR"/>
        </w:rPr>
      </w:pPr>
      <w:r>
        <w:rPr>
          <w:b/>
          <w:sz w:val="26"/>
          <w:szCs w:val="28"/>
          <w:lang w:val="fr-FR"/>
        </w:rPr>
      </w:r>
    </w:p>
    <w:p>
      <w:pPr>
        <w:pStyle w:val="Normal"/>
        <w:spacing w:before="120" w:after="0"/>
        <w:jc w:val="both"/>
        <w:rPr>
          <w:b/>
          <w:sz w:val="26"/>
          <w:szCs w:val="28"/>
          <w:lang w:val="fr-FR"/>
        </w:rPr>
      </w:pPr>
      <w:r>
        <w:rPr>
          <w:b/>
          <w:sz w:val="26"/>
          <w:szCs w:val="28"/>
          <w:lang w:val="fr-FR"/>
        </w:rPr>
      </w:r>
    </w:p>
    <w:p>
      <w:pPr>
        <w:pStyle w:val="Normal"/>
        <w:spacing w:before="120" w:after="0"/>
        <w:jc w:val="both"/>
        <w:rPr>
          <w:b/>
          <w:sz w:val="26"/>
          <w:szCs w:val="28"/>
          <w:lang w:val="fr-FR"/>
        </w:rPr>
      </w:pPr>
      <w:r>
        <w:rPr>
          <w:b/>
          <w:sz w:val="26"/>
          <w:szCs w:val="28"/>
          <w:lang w:val="fr-FR"/>
        </w:rPr>
      </w:r>
    </w:p>
    <w:p>
      <w:pPr>
        <w:pStyle w:val="Normal"/>
        <w:spacing w:before="120" w:after="0"/>
        <w:jc w:val="both"/>
        <w:rPr>
          <w:b/>
          <w:sz w:val="26"/>
          <w:szCs w:val="28"/>
          <w:lang w:val="fr-FR"/>
        </w:rPr>
      </w:pPr>
      <w:r>
        <w:rPr>
          <w:b/>
          <w:sz w:val="26"/>
          <w:szCs w:val="28"/>
          <w:lang w:val="fr-FR"/>
        </w:rPr>
      </w:r>
    </w:p>
    <w:p>
      <w:pPr>
        <w:pStyle w:val="Normal"/>
        <w:spacing w:before="120" w:after="0"/>
        <w:jc w:val="both"/>
        <w:rPr>
          <w:b/>
          <w:sz w:val="26"/>
          <w:szCs w:val="28"/>
          <w:lang w:val="fr-FR"/>
        </w:rPr>
      </w:pPr>
      <w:r>
        <w:rPr>
          <w:b/>
          <w:sz w:val="26"/>
          <w:szCs w:val="28"/>
          <w:lang w:val="fr-FR"/>
        </w:rPr>
      </w:r>
    </w:p>
    <w:p>
      <w:pPr>
        <w:pStyle w:val="Normal"/>
        <w:spacing w:before="120" w:after="0"/>
        <w:jc w:val="both"/>
        <w:rPr>
          <w:b/>
          <w:sz w:val="26"/>
          <w:szCs w:val="28"/>
          <w:lang w:val="fr-FR"/>
        </w:rPr>
        <w:sectPr>
          <w:headerReference w:type="default" r:id="rId3"/>
          <w:footerReference w:type="default" r:id="rId4"/>
          <w:type w:val="nextPage"/>
          <w:pgSz w:w="12240" w:h="15840"/>
          <w:pgMar w:left="1584" w:right="795" w:gutter="0" w:header="360" w:top="418" w:footer="720" w:bottom="1170"/>
          <w:pgNumType w:fmt="decimal"/>
          <w:formProt w:val="false"/>
          <w:textDirection w:val="lrTb"/>
          <w:docGrid w:type="default" w:linePitch="360" w:charSpace="0"/>
        </w:sectPr>
      </w:pPr>
      <w:r>
        <w:rPr>
          <w:b/>
          <w:sz w:val="26"/>
          <w:szCs w:val="28"/>
          <w:lang w:val="fr-FR"/>
        </w:rPr>
      </w:r>
    </w:p>
    <w:tbl>
      <w:tblPr>
        <w:tblW w:w="14312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4"/>
        <w:gridCol w:w="1559"/>
        <w:gridCol w:w="1701"/>
        <w:gridCol w:w="1990"/>
        <w:gridCol w:w="1783"/>
        <w:gridCol w:w="1796"/>
        <w:gridCol w:w="1794"/>
        <w:gridCol w:w="1587"/>
        <w:gridCol w:w="1398"/>
      </w:tblGrid>
      <w:tr>
        <w:trPr>
          <w:trHeight w:val="601" w:hRule="atLeast"/>
        </w:trPr>
        <w:tc>
          <w:tcPr>
            <w:tcW w:w="14312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fr-FR"/>
              </w:rPr>
              <w:t>KẾ HOẠCH KIỂM SOÁT CHẤT LƯỢNG</w:t>
            </w:r>
          </w:p>
        </w:tc>
      </w:tr>
      <w:tr>
        <w:trPr>
          <w:trHeight w:val="601" w:hRule="atLeast"/>
        </w:trPr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fr-FR"/>
              </w:rPr>
              <w:t>TT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fr-FR"/>
              </w:rPr>
              <w:t>CÔNG ĐOẠN SẢN XUẤT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fr-FR"/>
              </w:rPr>
              <w:t>CÁC CHỈ TIÊU KIỂM SOÁT</w:t>
            </w:r>
          </w:p>
        </w:tc>
        <w:tc>
          <w:tcPr>
            <w:tcW w:w="19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QUY ĐỊNH KỸ THUẬT</w:t>
            </w:r>
          </w:p>
        </w:tc>
        <w:tc>
          <w:tcPr>
            <w:tcW w:w="17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TẦN SUẤT LẤY MẪU/ CỠ MẪU</w:t>
            </w:r>
          </w:p>
        </w:tc>
        <w:tc>
          <w:tcPr>
            <w:tcW w:w="17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THIẾT BỊ THỬ NGHIỆM/ KIỂM TRA</w:t>
            </w:r>
          </w:p>
        </w:tc>
        <w:tc>
          <w:tcPr>
            <w:tcW w:w="179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PHƯƠNG PHÁP THỬ/ KIỂM TRA</w:t>
            </w:r>
          </w:p>
        </w:tc>
        <w:tc>
          <w:tcPr>
            <w:tcW w:w="158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TRÁCH NHIỆM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THỰC HIỆN</w:t>
            </w:r>
          </w:p>
        </w:tc>
        <w:tc>
          <w:tcPr>
            <w:tcW w:w="139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BIỂU GHI CHÉP</w:t>
            </w:r>
          </w:p>
        </w:tc>
      </w:tr>
      <w:tr>
        <w:trPr>
          <w:trHeight w:val="601" w:hRule="atLeast"/>
        </w:trPr>
        <w:tc>
          <w:tcPr>
            <w:tcW w:w="14312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I. Quá trình sản xuất Bánh đậu xanh, bột đậu</w:t>
            </w:r>
          </w:p>
        </w:tc>
      </w:tr>
      <w:tr>
        <w:trPr>
          <w:trHeight w:val="601" w:hRule="atLeast"/>
        </w:trPr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Rửa đỗ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Độ sạch; thời gian xả nước; để ráo</w:t>
            </w:r>
          </w:p>
        </w:tc>
        <w:tc>
          <w:tcPr>
            <w:tcW w:w="19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Xả nước rửa đỗ trong 20 phút, sau đó để ráo khoảng 1 tiếng trước khi luộc. Trường hợp đỗ non thì luộc luôn (không qua rửa, để ráo).</w:t>
            </w:r>
          </w:p>
        </w:tc>
        <w:tc>
          <w:tcPr>
            <w:tcW w:w="17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Quan sát thường xuyên / mỗi mẻ</w:t>
            </w:r>
          </w:p>
        </w:tc>
        <w:tc>
          <w:tcPr>
            <w:tcW w:w="17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Mắt nhìn</w:t>
            </w:r>
          </w:p>
        </w:tc>
        <w:tc>
          <w:tcPr>
            <w:tcW w:w="179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Ngoại quan</w:t>
            </w:r>
          </w:p>
        </w:tc>
        <w:tc>
          <w:tcPr>
            <w:tcW w:w="158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Công nhân sản xuất</w:t>
            </w:r>
          </w:p>
        </w:tc>
        <w:tc>
          <w:tcPr>
            <w:tcW w:w="139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</w:r>
          </w:p>
        </w:tc>
      </w:tr>
      <w:tr>
        <w:trPr>
          <w:trHeight w:val="601" w:hRule="atLeast"/>
        </w:trPr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Luộc đỗ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Khối lượng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Độ sôi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Độ chín</w:t>
            </w:r>
          </w:p>
        </w:tc>
        <w:tc>
          <w:tcPr>
            <w:tcW w:w="19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Một mẻ 100kg, đến khi sôi khoảng 20 phút, kiểm tra độ chín</w:t>
            </w:r>
          </w:p>
        </w:tc>
        <w:tc>
          <w:tcPr>
            <w:tcW w:w="17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Quan sát trong khi luộc</w:t>
            </w:r>
          </w:p>
        </w:tc>
        <w:tc>
          <w:tcPr>
            <w:tcW w:w="17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Mắt nhìn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Thử</w:t>
            </w:r>
          </w:p>
        </w:tc>
        <w:tc>
          <w:tcPr>
            <w:tcW w:w="179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Ngoại quan</w:t>
            </w:r>
          </w:p>
        </w:tc>
        <w:tc>
          <w:tcPr>
            <w:tcW w:w="158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Công nhân sản xuất</w:t>
            </w:r>
          </w:p>
        </w:tc>
        <w:tc>
          <w:tcPr>
            <w:tcW w:w="139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</w:r>
          </w:p>
        </w:tc>
      </w:tr>
      <w:tr>
        <w:trPr>
          <w:trHeight w:val="601" w:hRule="atLeast"/>
        </w:trPr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Rang đỗ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Nhiệt độ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Vòng quay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Độ chín</w:t>
            </w:r>
          </w:p>
        </w:tc>
        <w:tc>
          <w:tcPr>
            <w:tcW w:w="19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 xml:space="preserve">Nhiệt độ từ 255-270 độ 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Vòng quay của máy 6.2-7.0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Hạt vàng hoa cau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Thời gian khi hạt chỗ chạy hết chu trình rang khoảng  3-5 phút</w:t>
            </w:r>
          </w:p>
        </w:tc>
        <w:tc>
          <w:tcPr>
            <w:tcW w:w="17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Quan sát thường xuyên trong khi rang</w:t>
            </w:r>
          </w:p>
        </w:tc>
        <w:tc>
          <w:tcPr>
            <w:tcW w:w="17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Mắt nhìn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Máy rang đỗ</w:t>
            </w:r>
          </w:p>
        </w:tc>
        <w:tc>
          <w:tcPr>
            <w:tcW w:w="179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Ngoại quan</w:t>
            </w:r>
          </w:p>
        </w:tc>
        <w:tc>
          <w:tcPr>
            <w:tcW w:w="158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Công nhân sản xuất</w:t>
            </w:r>
          </w:p>
        </w:tc>
        <w:tc>
          <w:tcPr>
            <w:tcW w:w="139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</w:r>
          </w:p>
        </w:tc>
      </w:tr>
      <w:tr>
        <w:trPr>
          <w:trHeight w:val="601" w:hRule="atLeast"/>
        </w:trPr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Ủ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Độ kín</w:t>
            </w:r>
          </w:p>
        </w:tc>
        <w:tc>
          <w:tcPr>
            <w:tcW w:w="19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 xml:space="preserve">Quá trình ủ trong thùng gỗ, luôn được phủ kín bằng khăn vải để hạt đỗ chín đều. 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Thời gian ủ nguội khoảng 24h cho đến khi đỗ nguội hẳn</w:t>
            </w:r>
          </w:p>
        </w:tc>
        <w:tc>
          <w:tcPr>
            <w:tcW w:w="17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 xml:space="preserve">Quan sát </w:t>
            </w:r>
          </w:p>
        </w:tc>
        <w:tc>
          <w:tcPr>
            <w:tcW w:w="17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Mắt nhìn</w:t>
            </w:r>
          </w:p>
        </w:tc>
        <w:tc>
          <w:tcPr>
            <w:tcW w:w="179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Ngoại quan</w:t>
            </w:r>
          </w:p>
        </w:tc>
        <w:tc>
          <w:tcPr>
            <w:tcW w:w="158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Công nhân sản xuất</w:t>
            </w:r>
          </w:p>
        </w:tc>
        <w:tc>
          <w:tcPr>
            <w:tcW w:w="139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</w:r>
          </w:p>
        </w:tc>
      </w:tr>
      <w:tr>
        <w:trPr>
          <w:trHeight w:val="601" w:hRule="atLeast"/>
        </w:trPr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Tách vỏ, lọc sạn, cát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Hạt đỗ sạch vỏ</w:t>
            </w:r>
          </w:p>
        </w:tc>
        <w:tc>
          <w:tcPr>
            <w:tcW w:w="19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Điều chỉnh núm vặn sao cho độ nghiền vừa phải, tách được vỏ đỗ hết,</w:t>
            </w:r>
          </w:p>
        </w:tc>
        <w:tc>
          <w:tcPr>
            <w:tcW w:w="17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 xml:space="preserve">Quan sát thường xuyên </w:t>
            </w:r>
          </w:p>
        </w:tc>
        <w:tc>
          <w:tcPr>
            <w:tcW w:w="17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Mắt nhìn</w:t>
            </w:r>
          </w:p>
        </w:tc>
        <w:tc>
          <w:tcPr>
            <w:tcW w:w="17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Ngoại quan</w:t>
            </w:r>
          </w:p>
        </w:tc>
        <w:tc>
          <w:tcPr>
            <w:tcW w:w="158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Công nhân sản xuất</w:t>
            </w:r>
          </w:p>
        </w:tc>
        <w:tc>
          <w:tcPr>
            <w:tcW w:w="139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</w:r>
          </w:p>
        </w:tc>
      </w:tr>
      <w:tr>
        <w:trPr>
          <w:trHeight w:val="601" w:hRule="atLeast"/>
        </w:trPr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6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Nghiền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Khối lượng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Độ mịn</w:t>
            </w:r>
          </w:p>
        </w:tc>
        <w:tc>
          <w:tcPr>
            <w:tcW w:w="19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Khi nghiền điều chỉnh lực nghiền sao cho độ mịn đều, không có hạt to hơn 0,2mm</w:t>
            </w:r>
          </w:p>
        </w:tc>
        <w:tc>
          <w:tcPr>
            <w:tcW w:w="17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 xml:space="preserve">Quan sát thường xuyên </w:t>
            </w:r>
          </w:p>
        </w:tc>
        <w:tc>
          <w:tcPr>
            <w:tcW w:w="17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Mắt nhìn</w:t>
            </w:r>
          </w:p>
        </w:tc>
        <w:tc>
          <w:tcPr>
            <w:tcW w:w="17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Ngoại quan</w:t>
            </w:r>
          </w:p>
        </w:tc>
        <w:tc>
          <w:tcPr>
            <w:tcW w:w="158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Công nhân sản xuất</w:t>
            </w:r>
          </w:p>
        </w:tc>
        <w:tc>
          <w:tcPr>
            <w:tcW w:w="139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</w:r>
          </w:p>
        </w:tc>
      </w:tr>
      <w:tr>
        <w:trPr>
          <w:trHeight w:val="601" w:hRule="atLeast"/>
        </w:trPr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7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Trộn</w:t>
            </w:r>
          </w:p>
        </w:tc>
        <w:tc>
          <w:tcPr>
            <w:tcW w:w="17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Khối lượng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Tỉ lệ trộn</w:t>
            </w:r>
          </w:p>
        </w:tc>
        <w:tc>
          <w:tcPr>
            <w:tcW w:w="19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Khi trộn đảm bảo trộn đủ thành phần và khối lượng các loại NVL theo bảng định mức</w:t>
            </w:r>
          </w:p>
        </w:tc>
        <w:tc>
          <w:tcPr>
            <w:tcW w:w="178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 xml:space="preserve">Quan sát thường xuyên </w:t>
            </w:r>
          </w:p>
        </w:tc>
        <w:tc>
          <w:tcPr>
            <w:tcW w:w="179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Mắt nhìn</w:t>
            </w:r>
          </w:p>
        </w:tc>
        <w:tc>
          <w:tcPr>
            <w:tcW w:w="179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Ngoại quan</w:t>
            </w:r>
          </w:p>
        </w:tc>
        <w:tc>
          <w:tcPr>
            <w:tcW w:w="158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Công nhân sản xuất</w:t>
            </w:r>
          </w:p>
        </w:tc>
        <w:tc>
          <w:tcPr>
            <w:tcW w:w="139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</w:r>
          </w:p>
        </w:tc>
      </w:tr>
      <w:tr>
        <w:trPr>
          <w:trHeight w:val="601" w:hRule="atLeast"/>
        </w:trPr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8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Ủ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Độ kín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Thời gian ủ</w:t>
            </w:r>
          </w:p>
        </w:tc>
        <w:tc>
          <w:tcPr>
            <w:tcW w:w="1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Khi trộn xong ủ trong thùng kín đậy nắp.Thời gian ủ khoảng 24h.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Quan sát bằng mắt</w:t>
            </w:r>
          </w:p>
        </w:tc>
        <w:tc>
          <w:tcPr>
            <w:tcW w:w="17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Mắt nhìn</w:t>
            </w:r>
          </w:p>
        </w:tc>
        <w:tc>
          <w:tcPr>
            <w:tcW w:w="17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Ngoại quan</w:t>
            </w:r>
          </w:p>
        </w:tc>
        <w:tc>
          <w:tcPr>
            <w:tcW w:w="158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Công nhân sản xuất</w:t>
            </w:r>
          </w:p>
        </w:tc>
        <w:tc>
          <w:tcPr>
            <w:tcW w:w="139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</w:r>
          </w:p>
        </w:tc>
      </w:tr>
      <w:tr>
        <w:trPr>
          <w:trHeight w:val="601" w:hRule="atLeast"/>
        </w:trPr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9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Cán lại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Độ tơi</w:t>
            </w:r>
          </w:p>
        </w:tc>
        <w:tc>
          <w:tcPr>
            <w:tcW w:w="1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Sau khi ủ, bột được chuyển lên máy cán lại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Quan sát bằng mắt</w:t>
            </w:r>
          </w:p>
        </w:tc>
        <w:tc>
          <w:tcPr>
            <w:tcW w:w="17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Mắt nhìn</w:t>
            </w:r>
          </w:p>
        </w:tc>
        <w:tc>
          <w:tcPr>
            <w:tcW w:w="17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Ngoại quan</w:t>
            </w:r>
          </w:p>
        </w:tc>
        <w:tc>
          <w:tcPr>
            <w:tcW w:w="158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Công nhân sản xuất</w:t>
            </w:r>
          </w:p>
        </w:tc>
        <w:tc>
          <w:tcPr>
            <w:tcW w:w="139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</w:r>
          </w:p>
        </w:tc>
      </w:tr>
      <w:tr>
        <w:trPr>
          <w:trHeight w:val="601" w:hRule="atLeast"/>
        </w:trPr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10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Tạo viên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 xml:space="preserve">Độ chặt 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Hình dạng viên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Khối lượng tịnh</w:t>
            </w:r>
          </w:p>
        </w:tc>
        <w:tc>
          <w:tcPr>
            <w:tcW w:w="1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- Viên bánh vuông vắn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- Viên bánh đạt khối lượng tịnh yêu cầu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 xml:space="preserve">Quan sát thường xuyên 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Lấy mẫu ít nhất 3 lần/ca/máy đóng gói</w:t>
            </w:r>
          </w:p>
        </w:tc>
        <w:tc>
          <w:tcPr>
            <w:tcW w:w="17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Mắt nhìn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 xml:space="preserve">Cân </w:t>
            </w:r>
          </w:p>
        </w:tc>
        <w:tc>
          <w:tcPr>
            <w:tcW w:w="17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Ngoại quan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Cân đo</w:t>
            </w:r>
          </w:p>
        </w:tc>
        <w:tc>
          <w:tcPr>
            <w:tcW w:w="158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Công nhân sản xuất kiểm tra lại khối lượng ít nhất 3 lần/ca</w:t>
            </w:r>
          </w:p>
        </w:tc>
        <w:tc>
          <w:tcPr>
            <w:tcW w:w="139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</w:r>
          </w:p>
        </w:tc>
      </w:tr>
      <w:tr>
        <w:trPr>
          <w:trHeight w:val="601" w:hRule="atLeast"/>
        </w:trPr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11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Xếp khay, đóng nilon (hoặc đóng nilon, vào hộp tiểu)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Độ kín bao/mối hàn nilon</w:t>
              <w:br/>
            </w:r>
            <w:r>
              <w:t>Viên bánh xếp khay/vào hộp tiểu đầy đủ, ngay ngắn</w:t>
            </w:r>
          </w:p>
        </w:tc>
        <w:tc>
          <w:tcPr>
            <w:tcW w:w="1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- Viên bánh được xếp khay và bao gói nilon, hoặc đóng nilon rồi vào hộp tiểu, đảm bảo kín, không rách.</w:t>
              <w:br/>
            </w:r>
            <w:r>
              <w:t>- Túi bao khay được bao gói màng phức hợp đảm bảo kín, không bị rách.</w:t>
            </w:r>
          </w:p>
        </w:tc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Quan sát thường xuyên; kiểm tra độ kín mối hàn nilon ít nhất 2 lần/ca</w:t>
            </w:r>
          </w:p>
        </w:tc>
        <w:tc>
          <w:tcPr>
            <w:tcW w:w="17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Mắt nhìn</w:t>
            </w:r>
          </w:p>
        </w:tc>
        <w:tc>
          <w:tcPr>
            <w:tcW w:w="17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Ngoại quan</w:t>
            </w:r>
          </w:p>
        </w:tc>
        <w:tc>
          <w:tcPr>
            <w:tcW w:w="158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- Công nhân sản xuất trực tiếp kiểm tra</w:t>
              <w:br/>
            </w:r>
            <w:r>
              <w:t>- Quản lý sản xuất kiểm tra độ kín mối hàn nilon ít nhất 2 lần/ca</w:t>
            </w:r>
          </w:p>
        </w:tc>
        <w:tc>
          <w:tcPr>
            <w:tcW w:w="139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</w:r>
          </w:p>
        </w:tc>
      </w:tr>
      <w:tr>
        <w:trPr>
          <w:trHeight w:val="601" w:hRule="atLeast"/>
        </w:trPr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12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Đóng hộp, lưu kho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- Số lượng hộp nhỏ trong 1 hộp lớn</w:t>
              <w:br/>
            </w:r>
            <w:r>
              <w:t>- Số lượng hộp lớn sản xuất được</w:t>
            </w:r>
          </w:p>
        </w:tc>
        <w:tc>
          <w:tcPr>
            <w:tcW w:w="19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fr-FR"/>
              </w:rPr>
              <w:t>- Đảm bảo đủ số lượng các hộp nhỏ trong 1 hộp lớn theo quy định từng loại hộp.</w:t>
              <w:br/>
            </w:r>
            <w:r>
              <w:t>- Đóng thùng carton, nhập kho và bảo quản theo đúng quy định.</w:t>
            </w:r>
          </w:p>
        </w:tc>
        <w:tc>
          <w:tcPr>
            <w:tcW w:w="17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 xml:space="preserve">Quan sát thường xuyên </w:t>
            </w:r>
          </w:p>
        </w:tc>
        <w:tc>
          <w:tcPr>
            <w:tcW w:w="179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Mắt nhìn</w:t>
            </w:r>
          </w:p>
        </w:tc>
        <w:tc>
          <w:tcPr>
            <w:tcW w:w="17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Ngoại quan</w:t>
            </w:r>
          </w:p>
        </w:tc>
        <w:tc>
          <w:tcPr>
            <w:tcW w:w="158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- Công nhân sản xuất trực tiếp kiểm tra</w:t>
              <w:br/>
            </w:r>
            <w:r>
              <w:t>- Quản lý sản xuất kiểm tra</w:t>
            </w:r>
          </w:p>
        </w:tc>
        <w:tc>
          <w:tcPr>
            <w:tcW w:w="139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Phiếu theo dõi sản lượng sản xuất (phiếu lương sản phẩm công nhân)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</w:rPr>
              <w:t>- Báo cáo sản lượng sản xuất (tổng hợp)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sz w:val="26"/>
          <w:szCs w:val="28"/>
        </w:rPr>
      </w:pPr>
      <w:r>
        <w:rPr>
          <w:rFonts w:cs="Times New Roman" w:ascii="Times New Roman" w:hAnsi="Times New Roman"/>
          <w:b/>
          <w:sz w:val="26"/>
          <w:szCs w:val="28"/>
        </w:rPr>
        <w:t>6. Biểu mẫu</w:t>
      </w:r>
    </w:p>
    <w:p>
      <w:pPr>
        <w:pStyle w:val="Header"/>
        <w:tabs>
          <w:tab w:val="clear" w:pos="4320"/>
          <w:tab w:val="clear" w:pos="8640"/>
        </w:tabs>
        <w:rPr>
          <w:rFonts w:ascii="Times New Roman" w:hAnsi="Times New Roman" w:cs="Times New Roman"/>
          <w:b/>
          <w:sz w:val="26"/>
          <w:szCs w:val="28"/>
        </w:rPr>
      </w:pPr>
      <w:r>
        <w:rPr>
          <w:rFonts w:cs="Times New Roman" w:ascii="Times New Roman" w:hAnsi="Times New Roman"/>
          <w:b/>
          <w:sz w:val="26"/>
          <w:szCs w:val="28"/>
        </w:rPr>
      </w:r>
    </w:p>
    <w:tbl>
      <w:tblPr>
        <w:tblW w:w="1417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4820"/>
        <w:gridCol w:w="1532"/>
        <w:gridCol w:w="1940"/>
        <w:gridCol w:w="5316"/>
      </w:tblGrid>
      <w:tr>
        <w:trPr>
          <w:tblHeader w:val="true"/>
          <w:trHeight w:val="16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nl-NL"/>
              </w:rPr>
              <w:t>TT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nl-NL"/>
              </w:rPr>
              <w:t>Tên hồ sơ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nl-NL"/>
              </w:rPr>
              <w:t>Ký hiệu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nl-NL"/>
              </w:rPr>
              <w:t>Thời gian lưu</w:t>
            </w:r>
          </w:p>
        </w:tc>
        <w:tc>
          <w:tcPr>
            <w:tcW w:w="5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nl-NL"/>
              </w:rPr>
              <w:t>Nơi lưu</w:t>
            </w:r>
          </w:p>
        </w:tc>
      </w:tr>
      <w:tr>
        <w:trPr>
          <w:trHeight w:val="270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spacing w:lineRule="auto" w:line="312"/>
              <w:ind w:hanging="360" w:start="360" w:end="0"/>
              <w:jc w:val="center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nl-NL"/>
              </w:rPr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spacing w:lineRule="auto" w:line="312"/>
              <w:jc w:val="both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nl-NL"/>
              </w:rPr>
              <w:t>Phiếu theo dõi sản lượng sản xuất (Phiếu lương công nhân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center"/>
              <w:rPr>
                <w:rFonts w:ascii="Times New Roman" w:hAnsi="Times New Roman" w:cs="Times New Roman"/>
                <w:sz w:val="26"/>
                <w:szCs w:val="26"/>
                <w:lang w:val="nl-NL" w:eastAsia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nl-NL" w:eastAsia="en-US"/>
              </w:rPr>
              <w:t>PLK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both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nl-NL"/>
              </w:rPr>
              <w:t>02 năm</w:t>
            </w:r>
          </w:p>
        </w:tc>
        <w:tc>
          <w:tcPr>
            <w:tcW w:w="5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both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nl-NL"/>
              </w:rPr>
              <w:t>Phần mềm</w:t>
            </w:r>
          </w:p>
        </w:tc>
      </w:tr>
      <w:tr>
        <w:trPr>
          <w:trHeight w:val="270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spacing w:lineRule="auto" w:line="312"/>
              <w:ind w:hanging="360" w:start="360" w:end="0"/>
              <w:jc w:val="center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nl-NL"/>
              </w:rPr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spacing w:lineRule="auto" w:line="312"/>
              <w:jc w:val="both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nl-NL"/>
              </w:rPr>
              <w:t>Báo cáo sản lượng sản xuất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center"/>
              <w:rPr>
                <w:rFonts w:ascii="Times New Roman" w:hAnsi="Times New Roman" w:cs="Times New Roman"/>
                <w:sz w:val="26"/>
                <w:szCs w:val="26"/>
                <w:lang w:val="nl-NL" w:eastAsia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nl-NL" w:eastAsia="en-US"/>
              </w:rPr>
              <w:t>BCSX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both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nl-NL"/>
              </w:rPr>
              <w:t>02 năm</w:t>
            </w:r>
          </w:p>
        </w:tc>
        <w:tc>
          <w:tcPr>
            <w:tcW w:w="5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both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nl-NL"/>
              </w:rPr>
              <w:t>Phần mềm</w:t>
            </w:r>
          </w:p>
        </w:tc>
      </w:tr>
    </w:tbl>
    <w:p>
      <w:pPr>
        <w:pStyle w:val="Normal"/>
        <w:spacing w:lineRule="auto" w:line="312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er"/>
        <w:tabs>
          <w:tab w:val="clear" w:pos="4320"/>
          <w:tab w:val="clear" w:pos="8640"/>
        </w:tabs>
        <w:rPr>
          <w:sz w:val="26"/>
          <w:szCs w:val="26"/>
        </w:rPr>
      </w:pPr>
      <w:r>
        <w:rPr>
          <w:sz w:val="26"/>
          <w:szCs w:val="26"/>
        </w:rPr>
      </w:r>
    </w:p>
    <w:sectPr>
      <w:headerReference w:type="default" r:id="rId5"/>
      <w:headerReference w:type="first" r:id="rId6"/>
      <w:footerReference w:type="default" r:id="rId7"/>
      <w:footerReference w:type="first" r:id="rId8"/>
      <w:type w:val="nextPage"/>
      <w:pgSz w:orient="landscape" w:w="15840" w:h="12240"/>
      <w:pgMar w:left="964" w:right="964" w:gutter="0" w:header="357" w:top="413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.VnTime">
    <w:charset w:val="00" w:characterSet="windows-1252"/>
    <w:family w:val="swiss"/>
    <w:pitch w:val="variable"/>
  </w:font>
  <w:font w:name=".VnArial NarrowH">
    <w:charset w:val="00" w:characterSet="windows-1252"/>
    <w:family w:val="swiss"/>
    <w:pitch w:val="variable"/>
  </w:font>
  <w:font w:name=".VnTimeH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.VnTifani HeavyH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.VnArial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cs="Times New Roman" w:ascii="Times New Roman" w:hAnsi="Times New Roman"/>
        <w:sz w:val="20"/>
      </w:rPr>
      <w:t xml:space="preserve">Trang </w:t>
    </w:r>
    <w:r>
      <w:rPr>
        <w:rStyle w:val="PageNumber"/>
        <w:rFonts w:cs="Times New Roman" w:ascii="Times New Roman" w:hAnsi="Times New Roman"/>
        <w:sz w:val="20"/>
      </w:rPr>
      <w:fldChar w:fldCharType="begin"/>
    </w:r>
    <w:r>
      <w:rPr>
        <w:rStyle w:val="PageNumber"/>
        <w:rFonts w:cs="Times New Roman" w:ascii="Times New Roman" w:hAnsi="Times New Roman"/>
        <w:sz w:val="20"/>
      </w:rPr>
      <w:instrText xml:space="preserve"> PAGE </w:instrText>
    </w:r>
    <w:r>
      <w:rPr>
        <w:rStyle w:val="PageNumber"/>
        <w:rFonts w:cs="Times New Roman" w:ascii="Times New Roman" w:hAnsi="Times New Roman"/>
        <w:sz w:val="20"/>
      </w:rPr>
      <w:fldChar w:fldCharType="separate"/>
    </w:r>
    <w:r>
      <w:rPr>
        <w:rStyle w:val="PageNumber"/>
        <w:rFonts w:cs="Times New Roman" w:ascii="Times New Roman" w:hAnsi="Times New Roman"/>
        <w:sz w:val="20"/>
      </w:rPr>
      <w:t>3</w:t>
    </w:r>
    <w:r>
      <w:rPr>
        <w:rStyle w:val="PageNumber"/>
        <w:rFonts w:cs="Times New Roman" w:ascii="Times New Roman" w:hAnsi="Times New Roman"/>
        <w:sz w:val="20"/>
      </w:rPr>
      <w:fldChar w:fldCharType="end"/>
    </w:r>
    <w:r>
      <w:rPr>
        <w:rStyle w:val="PageNumber"/>
        <w:rFonts w:cs="Times New Roman" w:ascii="Times New Roman" w:hAnsi="Times New Roman"/>
        <w:sz w:val="20"/>
      </w:rPr>
      <w:t>/</w:t>
    </w:r>
    <w:r>
      <w:rPr>
        <w:rStyle w:val="PageNumber"/>
        <w:rFonts w:cs="Times New Roman" w:ascii="Times New Roman" w:hAnsi="Times New Roman"/>
        <w:sz w:val="20"/>
      </w:rPr>
      <w:fldChar w:fldCharType="begin"/>
    </w:r>
    <w:r>
      <w:rPr>
        <w:rStyle w:val="PageNumber"/>
        <w:rFonts w:cs="Times New Roman" w:ascii="Times New Roman" w:hAnsi="Times New Roman"/>
        <w:sz w:val="20"/>
      </w:rPr>
      <w:instrText xml:space="preserve"> NUMPAGES \* ARABIC </w:instrText>
    </w:r>
    <w:r>
      <w:rPr>
        <w:rStyle w:val="PageNumber"/>
        <w:rFonts w:cs="Times New Roman" w:ascii="Times New Roman" w:hAnsi="Times New Roman"/>
        <w:sz w:val="20"/>
      </w:rPr>
      <w:fldChar w:fldCharType="separate"/>
    </w:r>
    <w:r>
      <w:rPr>
        <w:rStyle w:val="PageNumber"/>
        <w:rFonts w:cs="Times New Roman" w:ascii="Times New Roman" w:hAnsi="Times New Roman"/>
        <w:sz w:val="20"/>
      </w:rPr>
      <w:t>6</w:t>
    </w:r>
    <w:r>
      <w:rPr>
        <w:rStyle w:val="PageNumber"/>
        <w:rFonts w:cs="Times New Roman" w:ascii="Times New Roman" w:hAnsi="Times New Roman"/>
        <w:sz w:val="20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cs="Times New Roman" w:ascii="Times New Roman" w:hAnsi="Times New Roman"/>
        <w:sz w:val="20"/>
      </w:rPr>
      <w:t xml:space="preserve">Trang </w:t>
    </w:r>
    <w:r>
      <w:rPr>
        <w:rStyle w:val="PageNumber"/>
        <w:rFonts w:cs="Times New Roman" w:ascii="Times New Roman" w:hAnsi="Times New Roman"/>
        <w:sz w:val="20"/>
      </w:rPr>
      <w:fldChar w:fldCharType="begin"/>
    </w:r>
    <w:r>
      <w:rPr>
        <w:rStyle w:val="PageNumber"/>
        <w:rFonts w:cs="Times New Roman" w:ascii="Times New Roman" w:hAnsi="Times New Roman"/>
        <w:sz w:val="20"/>
      </w:rPr>
      <w:instrText xml:space="preserve"> PAGE </w:instrText>
    </w:r>
    <w:r>
      <w:rPr>
        <w:rStyle w:val="PageNumber"/>
        <w:rFonts w:cs="Times New Roman" w:ascii="Times New Roman" w:hAnsi="Times New Roman"/>
        <w:sz w:val="20"/>
      </w:rPr>
      <w:fldChar w:fldCharType="separate"/>
    </w:r>
    <w:r>
      <w:rPr>
        <w:rStyle w:val="PageNumber"/>
        <w:rFonts w:cs="Times New Roman" w:ascii="Times New Roman" w:hAnsi="Times New Roman"/>
        <w:sz w:val="20"/>
      </w:rPr>
      <w:t>6</w:t>
    </w:r>
    <w:r>
      <w:rPr>
        <w:rStyle w:val="PageNumber"/>
        <w:rFonts w:cs="Times New Roman" w:ascii="Times New Roman" w:hAnsi="Times New Roman"/>
        <w:sz w:val="20"/>
      </w:rPr>
      <w:fldChar w:fldCharType="end"/>
    </w:r>
    <w:r>
      <w:rPr>
        <w:rStyle w:val="PageNumber"/>
        <w:rFonts w:cs="Times New Roman" w:ascii="Times New Roman" w:hAnsi="Times New Roman"/>
        <w:sz w:val="20"/>
      </w:rPr>
      <w:t>/</w:t>
    </w:r>
    <w:r>
      <w:rPr>
        <w:rStyle w:val="PageNumber"/>
        <w:rFonts w:cs="Times New Roman" w:ascii="Times New Roman" w:hAnsi="Times New Roman"/>
        <w:sz w:val="20"/>
      </w:rPr>
      <w:fldChar w:fldCharType="begin"/>
    </w:r>
    <w:r>
      <w:rPr>
        <w:rStyle w:val="PageNumber"/>
        <w:rFonts w:cs="Times New Roman" w:ascii="Times New Roman" w:hAnsi="Times New Roman"/>
        <w:sz w:val="20"/>
      </w:rPr>
      <w:instrText xml:space="preserve"> NUMPAGES \* ARABIC </w:instrText>
    </w:r>
    <w:r>
      <w:rPr>
        <w:rStyle w:val="PageNumber"/>
        <w:rFonts w:cs="Times New Roman" w:ascii="Times New Roman" w:hAnsi="Times New Roman"/>
        <w:sz w:val="20"/>
      </w:rPr>
      <w:fldChar w:fldCharType="separate"/>
    </w:r>
    <w:r>
      <w:rPr>
        <w:rStyle w:val="PageNumber"/>
        <w:rFonts w:cs="Times New Roman" w:ascii="Times New Roman" w:hAnsi="Times New Roman"/>
        <w:sz w:val="20"/>
      </w:rPr>
      <w:t>6</w:t>
    </w:r>
    <w:r>
      <w:rPr>
        <w:rStyle w:val="PageNumber"/>
        <w:rFonts w:cs="Times New Roman" w:ascii="Times New Roman" w:hAnsi="Times New Roman"/>
        <w:sz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1950" w:leader="none"/>
      </w:tabs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195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46"/>
      <w:numFmt w:val="bullet"/>
      <w:lvlText w:val="-"/>
      <w:lvlJc w:val="start"/>
      <w:pPr>
        <w:tabs>
          <w:tab w:val="num" w:pos="360"/>
        </w:tabs>
        <w:ind w:start="360" w:hanging="360"/>
      </w:pPr>
      <w:rPr>
        <w:rFonts w:ascii=".VnTime" w:hAnsi=".VnTime" w:cs=".VnTime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502" w:hanging="360"/>
      </w:pPr>
      <w:rPr/>
    </w:lvl>
  </w:abstractNum>
  <w:abstractNum w:abstractNumId="4">
    <w:lvl w:ilvl="0">
      <w:start w:val="5"/>
      <w:numFmt w:val="bullet"/>
      <w:lvlText w:val="-"/>
      <w:lvlJc w:val="start"/>
      <w:pPr>
        <w:tabs>
          <w:tab w:val="num" w:pos="0"/>
        </w:tabs>
        <w:ind w:start="360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Arial NarrowH" w:hAnsi=".VnArial NarrowH" w:cs=".VnArial NarrowH"/>
      <w:b/>
      <w:bCs/>
      <w:sz w:val="32"/>
      <w:szCs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.VnTimeH" w:hAnsi=".VnTimeH" w:cs=".VnTimeH"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bCs/>
      <w:szCs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rFonts w:ascii=".VnArial NarrowH" w:hAnsi=".VnArial NarrowH" w:cs=".VnArial NarrowH"/>
      <w:b/>
      <w:bCs/>
      <w:sz w:val="36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b/>
      <w:bCs/>
      <w:sz w:val="30"/>
      <w:szCs w:val="24"/>
      <w:u w:val="single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bCs/>
      <w:szCs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outlineLvl w:val="6"/>
    </w:pPr>
    <w:rPr>
      <w:sz w:val="32"/>
    </w:rPr>
  </w:style>
  <w:style w:type="character" w:styleId="WW8Num1z0">
    <w:name w:val="WW8Num1z0"/>
    <w:qFormat/>
    <w:rPr>
      <w:rFonts w:ascii=".VnTime" w:hAnsi=".VnTime" w:cs="Eras Demi ITC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.VnTime" w:hAnsi=".VnTime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8z2">
    <w:name w:val="WW8Num8z2"/>
    <w:qFormat/>
    <w:rPr>
      <w:rFonts w:ascii="Symbol" w:hAnsi="Symbol" w:eastAsia="Batang;바탕" w:cs="Symbol"/>
      <w:b w:val="false"/>
    </w:rPr>
  </w:style>
  <w:style w:type="character" w:styleId="WW8Num8z4">
    <w:name w:val="WW8Num8z4"/>
    <w:qFormat/>
    <w:rPr>
      <w:rFonts w:ascii="Courier New" w:hAnsi="Courier New" w:cs="Courier New"/>
    </w:rPr>
  </w:style>
  <w:style w:type="character" w:styleId="WW8Num8z5">
    <w:name w:val="WW8Num8z5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2">
    <w:name w:val="WW8Num10z2"/>
    <w:qFormat/>
    <w:rPr/>
  </w:style>
  <w:style w:type="character" w:styleId="WW8Num11z0">
    <w:name w:val="WW8Num11z0"/>
    <w:qFormat/>
    <w:rPr>
      <w:rFonts w:ascii="Arial" w:hAnsi="Arial" w:eastAsia="Times New Roman" w:cs="Arial"/>
    </w:rPr>
  </w:style>
  <w:style w:type="character" w:styleId="WW8Num11z1">
    <w:name w:val="WW8Num11z1"/>
    <w:qFormat/>
    <w:rPr>
      <w:rFonts w:ascii="Symbol" w:hAnsi="Symbol" w:cs="Symbol"/>
    </w:rPr>
  </w:style>
  <w:style w:type="character" w:styleId="WW8Num11z2">
    <w:name w:val="WW8Num11z2"/>
    <w:qFormat/>
    <w:rPr/>
  </w:style>
  <w:style w:type="character" w:styleId="WW8Num11z4">
    <w:name w:val="WW8Num11z4"/>
    <w:qFormat/>
    <w:rPr>
      <w:rFonts w:ascii="Courier New" w:hAnsi="Courier New" w:cs="Courier New"/>
    </w:rPr>
  </w:style>
  <w:style w:type="character" w:styleId="WW8Num11z5">
    <w:name w:val="WW8Num11z5"/>
    <w:qFormat/>
    <w:rPr>
      <w:rFonts w:ascii="Wingdings" w:hAnsi="Wingdings" w:cs="Wingdings"/>
    </w:rPr>
  </w:style>
  <w:style w:type="character" w:styleId="WW8Num12z0">
    <w:name w:val="WW8Num12z0"/>
    <w:qFormat/>
    <w:rPr>
      <w:rFonts w:ascii="Arial" w:hAnsi="Arial" w:eastAsia="Times New Roman" w:cs="Aria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" w:hAnsi="Times New Roman" w:eastAsia="Times New Roman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Times New Roman" w:hAnsi="Times New Roman" w:eastAsia="Times New Roman" w:cs="Times New Roman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.VnTime" w:hAnsi=".VnTime" w:eastAsia="Times New Roman" w:cs="Times New Roman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>
      <w:rFonts w:ascii="Wingdings" w:hAnsi="Wingdings" w:cs="Wingdings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rFonts w:ascii="Times New Roman" w:hAnsi="Times New Roman" w:eastAsia="Times New Roman" w:cs="Times New Roman"/>
    </w:rPr>
  </w:style>
  <w:style w:type="character" w:styleId="WW8Num29z1">
    <w:name w:val="WW8Num29z1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29z4">
    <w:name w:val="WW8Num29z4"/>
    <w:qFormat/>
    <w:rPr>
      <w:rFonts w:ascii="Courier New" w:hAnsi="Courier New" w:cs="Courier New"/>
    </w:rPr>
  </w:style>
  <w:style w:type="character" w:styleId="WW8Num30z0">
    <w:name w:val="WW8Num30z0"/>
    <w:qFormat/>
    <w:rPr/>
  </w:style>
  <w:style w:type="character" w:styleId="WW8Num31z0">
    <w:name w:val="WW8Num31z0"/>
    <w:qFormat/>
    <w:rPr>
      <w:rFonts w:ascii="Symbol" w:hAnsi="Symbol" w:cs="Symbol"/>
    </w:rPr>
  </w:style>
  <w:style w:type="character" w:styleId="WW8Num32z0">
    <w:name w:val="WW8Num32z0"/>
    <w:qFormat/>
    <w:rPr>
      <w:rFonts w:ascii=".VnTime" w:hAnsi=".VnTime" w:eastAsia="Times New Roman" w:cs="Times New Roman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2z3">
    <w:name w:val="WW8Num32z3"/>
    <w:qFormat/>
    <w:rPr>
      <w:rFonts w:ascii="Symbol" w:hAnsi="Symbol" w:cs="Symbol"/>
    </w:rPr>
  </w:style>
  <w:style w:type="character" w:styleId="WW8Num33z0">
    <w:name w:val="WW8Num33z0"/>
    <w:qFormat/>
    <w:rPr>
      <w:rFonts w:ascii="Times New Roman" w:hAnsi="Times New Roman" w:cs="Times New Roman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3z3">
    <w:name w:val="WW8Num33z3"/>
    <w:qFormat/>
    <w:rPr>
      <w:rFonts w:ascii="Symbol" w:hAnsi="Symbol" w:cs="Symbol"/>
    </w:rPr>
  </w:style>
  <w:style w:type="character" w:styleId="WW8Num35z0">
    <w:name w:val="WW8Num35z0"/>
    <w:qFormat/>
    <w:rPr/>
  </w:style>
  <w:style w:type="character" w:styleId="WW8Num36z0">
    <w:name w:val="WW8Num36z0"/>
    <w:qFormat/>
    <w:rPr>
      <w:rFonts w:ascii="Symbol" w:hAnsi="Symbol" w:eastAsia="Times New Roman" w:cs="Times New Roman"/>
    </w:rPr>
  </w:style>
  <w:style w:type="character" w:styleId="WW8Num36z1">
    <w:name w:val="WW8Num36z1"/>
    <w:qFormat/>
    <w:rPr>
      <w:rFonts w:ascii="Courier New" w:hAnsi="Courier New" w:cs="Courier New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6z3">
    <w:name w:val="WW8Num36z3"/>
    <w:qFormat/>
    <w:rPr>
      <w:rFonts w:ascii="Symbol" w:hAnsi="Symbol" w:cs="Symbol"/>
    </w:rPr>
  </w:style>
  <w:style w:type="character" w:styleId="WW8Num37z0">
    <w:name w:val="WW8Num37z0"/>
    <w:qFormat/>
    <w:rPr>
      <w:rFonts w:ascii="Times New Roman" w:hAnsi="Times New Roman" w:eastAsia="Times New Roman" w:cs="Times New Roman"/>
    </w:rPr>
  </w:style>
  <w:style w:type="character" w:styleId="WW8Num38z0">
    <w:name w:val="WW8Num38z0"/>
    <w:qFormat/>
    <w:rPr>
      <w:rFonts w:ascii="Symbol" w:hAnsi="Symbol" w:cs="Symbol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9z0">
    <w:name w:val="WW8Num39z0"/>
    <w:qFormat/>
    <w:rPr>
      <w:rFonts w:ascii="Symbol" w:hAnsi="Symbol" w:cs="Symbol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eaderChar">
    <w:name w:val="Header Char"/>
    <w:qFormat/>
    <w:rPr>
      <w:rFonts w:ascii=".VnTime" w:hAnsi=".VnTime" w:cs=".VnTime"/>
      <w:sz w:val="28"/>
      <w:szCs w:val="24"/>
    </w:rPr>
  </w:style>
  <w:style w:type="character" w:styleId="FooterChar">
    <w:name w:val="Footer Char"/>
    <w:qFormat/>
    <w:rPr>
      <w:rFonts w:ascii=".VnTime" w:hAnsi=".VnTime" w:cs=".VnTime"/>
      <w:sz w:val="28"/>
      <w:szCs w:val="24"/>
    </w:rPr>
  </w:style>
  <w:style w:type="character" w:styleId="BodyTextChar">
    <w:name w:val="Body Text Char"/>
    <w:qFormat/>
    <w:rPr>
      <w:rFonts w:ascii=".VnTime" w:hAnsi=".VnTime" w:cs=".VnTime"/>
      <w:kern w:val="2"/>
      <w:sz w:val="28"/>
      <w:lang w:bidi="ar-SA"/>
    </w:rPr>
  </w:style>
  <w:style w:type="character" w:styleId="TitleChar">
    <w:name w:val="Title Char"/>
    <w:qFormat/>
    <w:rPr>
      <w:rFonts w:ascii=".VnTimeH" w:hAnsi=".VnTimeH" w:cs=".VnTimeH"/>
      <w:b/>
      <w:kern w:val="2"/>
      <w:sz w:val="32"/>
      <w:lang w:bidi="ar-SA"/>
    </w:rPr>
  </w:style>
  <w:style w:type="character" w:styleId="SubtitleChar">
    <w:name w:val="Subtitle Char"/>
    <w:qFormat/>
    <w:rPr>
      <w:rFonts w:ascii=".VnTime" w:hAnsi=".VnTime" w:cs=".VnTime"/>
      <w:b/>
      <w:bCs/>
      <w:sz w:val="24"/>
      <w:szCs w:val="24"/>
      <w:lang w:bidi="ar-SA"/>
    </w:rPr>
  </w:style>
  <w:style w:type="character" w:styleId="BodyTextIndent3Char">
    <w:name w:val="Body Text Indent 3 Char"/>
    <w:qFormat/>
    <w:rPr>
      <w:rFonts w:ascii=".VnTime" w:hAnsi=".VnTime" w:cs=".VnTime"/>
      <w:sz w:val="16"/>
      <w:szCs w:val="16"/>
      <w:lang w:bidi="ar-SA"/>
    </w:rPr>
  </w:style>
  <w:style w:type="character" w:styleId="CharChar2">
    <w:name w:val=" Char Char2"/>
    <w:qFormat/>
    <w:rPr>
      <w:rFonts w:ascii=".VnTifani HeavyH" w:hAnsi=".VnTifani HeavyH" w:cs=".VnTifani HeavyH"/>
      <w:b/>
      <w:bCs/>
      <w:sz w:val="26"/>
      <w:szCs w:val="24"/>
      <w:lang w:bidi="ar-SA"/>
    </w:rPr>
  </w:style>
  <w:style w:type="character" w:styleId="CharChar3">
    <w:name w:val=" Char Char3"/>
    <w:qFormat/>
    <w:rPr>
      <w:rFonts w:ascii=".VnTifani HeavyH" w:hAnsi=".VnTifani HeavyH" w:cs=".VnTifani HeavyH"/>
      <w:b/>
      <w:bCs/>
      <w:sz w:val="26"/>
      <w:szCs w:val="24"/>
    </w:rPr>
  </w:style>
  <w:style w:type="character" w:styleId="Hyperlink">
    <w:name w:val="Hyperlink"/>
    <w:rPr>
      <w:color w:val="0563C1"/>
      <w:u w:val="single"/>
    </w:rPr>
  </w:style>
  <w:style w:type="character" w:styleId="FollowedHyperlink">
    <w:name w:val="FollowedHyperlink"/>
    <w:rPr>
      <w:color w:val="954F72"/>
      <w:u w:val="single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jc w:val="center"/>
    </w:pPr>
    <w:rPr>
      <w:rFonts w:ascii=".VnTimeH" w:hAnsi=".VnTimeH" w:cs=".VnTimeH"/>
      <w:b/>
      <w:kern w:val="2"/>
      <w:sz w:val="32"/>
    </w:rPr>
  </w:style>
  <w:style w:type="paragraph" w:styleId="BodyText">
    <w:name w:val="Body Text"/>
    <w:basedOn w:val="Normal"/>
    <w:pPr>
      <w:jc w:val="both"/>
    </w:pPr>
    <w:rPr>
      <w:kern w:val="2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next w:val="Normal"/>
    <w:qFormat/>
    <w:pPr>
      <w:spacing w:before="240" w:after="0"/>
      <w:jc w:val="both"/>
    </w:pPr>
    <w:rPr>
      <w:sz w:val="26"/>
      <w:lang w:val="en-GB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Cs w:val="24"/>
    </w:rPr>
  </w:style>
  <w:style w:type="paragraph" w:styleId="BodyText2">
    <w:name w:val="Body Text 2"/>
    <w:basedOn w:val="Normal"/>
    <w:qFormat/>
    <w:pPr>
      <w:spacing w:lineRule="exact" w:line="300"/>
      <w:jc w:val="center"/>
    </w:pPr>
    <w:rPr>
      <w:sz w:val="22"/>
    </w:rPr>
  </w:style>
  <w:style w:type="paragraph" w:styleId="xl61">
    <w:name w:val="xl6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eastAsia="Arial Unicode MS" w:cs="Arial Unicode MS"/>
      <w:sz w:val="16"/>
      <w:szCs w:val="16"/>
    </w:rPr>
  </w:style>
  <w:style w:type="paragraph" w:styleId="BodyTextIndent2">
    <w:name w:val="Body Text Indent 2"/>
    <w:basedOn w:val="Normal"/>
    <w:qFormat/>
    <w:pPr>
      <w:spacing w:lineRule="auto" w:line="480" w:before="0" w:after="120"/>
      <w:ind w:hanging="0" w:start="360" w:end="0"/>
    </w:pPr>
    <w:rPr/>
  </w:style>
  <w:style w:type="paragraph" w:styleId="Subtitle">
    <w:name w:val="Subtitle"/>
    <w:basedOn w:val="Normal"/>
    <w:next w:val="BodyText"/>
    <w:qFormat/>
    <w:pPr/>
    <w:rPr>
      <w:b/>
      <w:bCs/>
      <w:sz w:val="24"/>
      <w:szCs w:val="24"/>
    </w:rPr>
  </w:style>
  <w:style w:type="paragraph" w:styleId="BodyTextIndent3">
    <w:name w:val="Body Text Indent 3"/>
    <w:basedOn w:val="Normal"/>
    <w:qFormat/>
    <w:pPr>
      <w:spacing w:before="0" w:after="120"/>
      <w:ind w:hanging="0" w:start="360" w:end="0"/>
    </w:pPr>
    <w:rPr>
      <w:sz w:val="16"/>
      <w:szCs w:val="16"/>
    </w:rPr>
  </w:style>
  <w:style w:type="paragraph" w:styleId="BodyText3">
    <w:name w:val="Body Text 3"/>
    <w:basedOn w:val="Normal"/>
    <w:qFormat/>
    <w:pPr>
      <w:spacing w:before="120" w:after="0"/>
      <w:jc w:val="center"/>
    </w:pPr>
    <w:rPr>
      <w:sz w:val="20"/>
    </w:rPr>
  </w:style>
  <w:style w:type="paragraph" w:styleId="BodyTextIndent">
    <w:name w:val="Body Text Indent"/>
    <w:basedOn w:val="Normal"/>
    <w:pPr>
      <w:tabs>
        <w:tab w:val="clear" w:pos="720"/>
        <w:tab w:val="left" w:pos="4786" w:leader="none"/>
        <w:tab w:val="left" w:pos="7338" w:leader="none"/>
        <w:tab w:val="left" w:pos="9606" w:leader="none"/>
      </w:tabs>
      <w:ind w:hanging="0" w:start="360" w:end="0"/>
    </w:pPr>
    <w:rPr>
      <w:rFonts w:ascii=".VnArial" w:hAnsi=".VnArial" w:cs=".VnArial"/>
      <w:position w:val="-6"/>
      <w:sz w:val="24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994</TotalTime>
  <Application>LibreOffice/26.2.2.2$Linux_AARCH64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2012-02-22T14:55:00Z</dcterms:created>
  <dc:creator>hung</dc:creator>
  <dc:description/>
  <cp:keywords/>
  <dc:language>en-US</dc:language>
  <cp:lastModifiedBy>Admin</cp:lastModifiedBy>
  <cp:lastPrinted>2023-08-02T08:35:00Z</cp:lastPrinted>
  <dcterms:modified xsi:type="dcterms:W3CDTF">2025-06-28T08:51:00Z</dcterms:modified>
  <cp:revision>239</cp:revision>
  <dc:subject/>
  <dc:title>Ch­ng 1</dc:title>
</cp:coreProperties>
</file>