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SƠ ĐỒ QUY TRÌNH SẢN XUẤT BÁNH ĐẬU XANH</w:t>
      </w:r>
    </w:p>
    <w:p>
      <w:pPr>
        <w:jc w:val="center"/>
      </w:pPr>
      <w:r>
        <w:rPr>
          <w:rFonts w:ascii="Arial" w:hAnsi="Arial"/>
          <w:i/>
          <w:sz w:val="20"/>
        </w:rPr>
        <w:t>(Cập nhật theo quy trình mới – QT.08, ngày 13/06/2026)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Nhập &amp; chuẩn bị nguyên liệu (đỗ xanh)</w:t>
            </w:r>
          </w:p>
        </w:tc>
      </w:tr>
    </w:tbl>
    <w:p>
      <w:pPr>
        <w:jc w:val="center"/>
      </w:pPr>
      <w:r>
        <w:rPr>
          <w:rFonts w:ascii="Arial" w:hAnsi="Arial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shd w:val="clear" w:fill="FCE4D6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Rửa đỗ  (xả nước 20 phút → để ráo ~1 giờ; trường hợp đỗ non thì luộc luôn)</w:t>
            </w:r>
          </w:p>
        </w:tc>
      </w:tr>
    </w:tbl>
    <w:p>
      <w:pPr>
        <w:jc w:val="center"/>
      </w:pPr>
      <w:r>
        <w:rPr>
          <w:rFonts w:ascii="Arial" w:hAnsi="Arial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shd w:val="clear" w:fill="DEEAF6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Luộc đỗ</w:t>
            </w:r>
          </w:p>
        </w:tc>
      </w:tr>
    </w:tbl>
    <w:p>
      <w:pPr>
        <w:jc w:val="center"/>
      </w:pPr>
      <w:r>
        <w:rPr>
          <w:rFonts w:ascii="Arial" w:hAnsi="Arial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shd w:val="clear" w:fill="DEEAF6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Rang đỗ (với cát)</w:t>
            </w:r>
          </w:p>
        </w:tc>
      </w:tr>
    </w:tbl>
    <w:p>
      <w:pPr>
        <w:jc w:val="center"/>
      </w:pPr>
      <w:r>
        <w:rPr>
          <w:rFonts w:ascii="Arial" w:hAnsi="Arial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shd w:val="clear" w:fill="DEEAF6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Ủ / làm nguội</w:t>
            </w:r>
          </w:p>
        </w:tc>
      </w:tr>
    </w:tbl>
    <w:p>
      <w:pPr>
        <w:jc w:val="center"/>
      </w:pPr>
      <w:r>
        <w:rPr>
          <w:rFonts w:ascii="Arial" w:hAnsi="Arial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shd w:val="clear" w:fill="DEEAF6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Tách vỏ, lọc sạn, cát</w:t>
            </w:r>
          </w:p>
        </w:tc>
      </w:tr>
    </w:tbl>
    <w:p>
      <w:pPr>
        <w:jc w:val="center"/>
      </w:pPr>
      <w:r>
        <w:rPr>
          <w:rFonts w:ascii="Arial" w:hAnsi="Arial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shd w:val="clear" w:fill="DEEAF6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Nghiền</w:t>
            </w:r>
          </w:p>
        </w:tc>
      </w:tr>
    </w:tbl>
    <w:p>
      <w:pPr>
        <w:jc w:val="center"/>
      </w:pPr>
      <w:r>
        <w:rPr>
          <w:rFonts w:ascii="Arial" w:hAnsi="Arial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shd w:val="clear" w:fill="DEEAF6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Trộn   ◄──  Chuẩn bị đường (nấu đường, đánh nguội, đánh tơi) + phẩm màu / hương liệu</w:t>
            </w:r>
          </w:p>
        </w:tc>
      </w:tr>
    </w:tbl>
    <w:p>
      <w:pPr>
        <w:jc w:val="center"/>
      </w:pPr>
      <w:r>
        <w:rPr>
          <w:rFonts w:ascii="Arial" w:hAnsi="Arial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shd w:val="clear" w:fill="DEEAF6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Ủ (sau trộn)</w:t>
            </w:r>
          </w:p>
        </w:tc>
      </w:tr>
    </w:tbl>
    <w:p>
      <w:pPr>
        <w:jc w:val="center"/>
      </w:pPr>
      <w:r>
        <w:rPr>
          <w:rFonts w:ascii="Arial" w:hAnsi="Arial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shd w:val="clear" w:fill="DEEAF6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Cán lại</w:t>
            </w:r>
          </w:p>
        </w:tc>
      </w:tr>
    </w:tbl>
    <w:p>
      <w:pPr>
        <w:jc w:val="center"/>
      </w:pPr>
      <w:r>
        <w:rPr>
          <w:rFonts w:ascii="Arial" w:hAnsi="Arial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shd w:val="clear" w:fill="DEEAF6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Tạo viên</w:t>
            </w:r>
          </w:p>
        </w:tc>
      </w:tr>
    </w:tbl>
    <w:p>
      <w:pPr>
        <w:jc w:val="center"/>
      </w:pPr>
      <w:r>
        <w:rPr>
          <w:rFonts w:ascii="Arial" w:hAnsi="Arial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shd w:val="clear" w:fill="FCE4D6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Xếp khay, đóng nilon  (hoặc đóng nilon, vào hộp tiểu)</w:t>
            </w:r>
          </w:p>
        </w:tc>
      </w:tr>
    </w:tbl>
    <w:p>
      <w:pPr>
        <w:jc w:val="center"/>
      </w:pPr>
      <w:r>
        <w:rPr>
          <w:rFonts w:ascii="Arial" w:hAnsi="Arial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Đóng hộp, đóng thùng, lưu kho</w:t>
            </w:r>
          </w:p>
        </w:tc>
      </w:tr>
    </w:tbl>
    <w:p/>
    <w:p>
      <w:r>
        <w:rPr>
          <w:rFonts w:ascii="Arial" w:hAnsi="Arial"/>
          <w:i/>
          <w:sz w:val="19"/>
        </w:rPr>
        <w:t>Ghi chú: Hai công đoạn được tô đậm (Rửa đỗ; Xếp khay, đóng nilon/vào hộp tiểu) là các bước bổ sung/tách mới theo cập nhật quy trình. Phân tích mối nguy tương ứng xem Kế hoạch HACCP mục 5.6.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