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cs="Times New Roman" w:eastAsia="Times New Roman"/>
          <w:b/>
          <w:i w:val="0"/>
          <w:sz w:val="26"/>
        </w:rPr>
        <w:t>CÔNG TY CỔ PHẦN HOÀNG GIANG</w:t>
      </w:r>
    </w:p>
    <w:p>
      <w:pPr>
        <w:spacing w:after="40" w:before="0" w:line="276" w:lineRule="auto"/>
        <w:jc w:val="center"/>
      </w:pPr>
      <w:r>
        <w:rPr>
          <w:rFonts w:ascii="Times New Roman" w:hAnsi="Times New Roman" w:cs="Times New Roman" w:eastAsia="Times New Roman"/>
          <w:b/>
          <w:i w:val="0"/>
          <w:sz w:val="24"/>
        </w:rPr>
        <w:t>BẢNG ĐỊNH MỨC</w:t>
      </w:r>
    </w:p>
    <w:p>
      <w:pPr>
        <w:spacing w:after="120" w:before="0" w:line="276" w:lineRule="auto"/>
        <w:jc w:val="center"/>
      </w:pPr>
      <w:r>
        <w:rPr>
          <w:rFonts w:ascii="Times New Roman" w:hAnsi="Times New Roman" w:cs="Times New Roman" w:eastAsia="Times New Roman"/>
          <w:b/>
          <w:i w:val="0"/>
          <w:color w:val="1F3864"/>
          <w:sz w:val="30"/>
        </w:rPr>
        <w:t>ĐỊNH MỨC PHỤ GIA, PHẨM MÀU THỰC PHẨM</w:t>
      </w:r>
    </w:p>
    <w:p>
      <w:pPr>
        <w:spacing w:after="160" w:before="0" w:line="276" w:lineRule="auto"/>
        <w:jc w:val="center"/>
      </w:pPr>
      <w:r>
        <w:rPr>
          <w:rFonts w:ascii="Times New Roman" w:hAnsi="Times New Roman" w:cs="Times New Roman" w:eastAsia="Times New Roman"/>
          <w:b w:val="0"/>
          <w:i/>
          <w:sz w:val="22"/>
        </w:rPr>
        <w:t>Mã số: BM.PG.01        Lần ban hành: 01        Ngày ban hành: 13/06/2026</w:t>
      </w:r>
    </w:p>
    <w:tbl>
      <w:tblPr>
        <w:tblStyle w:val="TableGrid"/>
        <w:tblW w:type="auto" w:w="0"/>
        <w:jc w:val="center"/>
        <w:tblLook w:firstColumn="1" w:firstRow="1" w:lastColumn="0" w:lastRow="0" w:noHBand="0" w:noVBand="1" w:val="04A0"/>
      </w:tblPr>
      <w:tblGrid>
        <w:gridCol w:w="5159"/>
        <w:gridCol w:w="5159"/>
      </w:tblGrid>
      <w:tr>
        <w:tc>
          <w:tcPr>
            <w:tcW w:type="dxa" w:w="5102"/>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4"/>
              </w:rPr>
              <w:t>NGƯỜI SOẠN THẢO</w:t>
            </w:r>
          </w:p>
        </w:tc>
        <w:tc>
          <w:tcPr>
            <w:tcW w:type="dxa" w:w="5102"/>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4"/>
              </w:rPr>
              <w:t>NGƯỜI PHÊ DUYỆT</w:t>
            </w:r>
          </w:p>
        </w:tc>
      </w:tr>
      <w:tr>
        <w:tc>
          <w:tcPr>
            <w:tcW w:type="dxa" w:w="5102"/>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t>Nguyễn Huy Chiến</w:t>
            </w:r>
          </w:p>
        </w:tc>
        <w:tc>
          <w:tcPr>
            <w:tcW w:type="dxa" w:w="5102"/>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t>Đào Văn Tiến</w:t>
            </w:r>
          </w:p>
        </w:tc>
      </w:tr>
    </w:tbl>
    <w:p>
      <w:pPr>
        <w:spacing w:after="80" w:before="0" w:line="276" w:lineRule="auto"/>
      </w:pPr>
    </w:p>
    <w:p>
      <w:pPr>
        <w:spacing w:after="40" w:before="80" w:line="276" w:lineRule="auto"/>
      </w:pPr>
      <w:r>
        <w:rPr>
          <w:rFonts w:ascii="Times New Roman" w:hAnsi="Times New Roman" w:cs="Times New Roman" w:eastAsia="Times New Roman"/>
          <w:b/>
          <w:i w:val="0"/>
          <w:sz w:val="24"/>
        </w:rPr>
        <w:t>THEO DÕI SỬA ĐỔI</w:t>
      </w:r>
    </w:p>
    <w:tbl>
      <w:tblPr>
        <w:tblStyle w:val="TableGrid"/>
        <w:tblW w:type="auto" w:w="0"/>
        <w:jc w:val="center"/>
        <w:tblLayout w:type="fixed"/>
        <w:tblLook w:firstColumn="1" w:firstRow="1" w:lastColumn="0" w:lastRow="0" w:noHBand="0" w:noVBand="1" w:val="04A0"/>
      </w:tblPr>
      <w:tblGrid>
        <w:gridCol w:w="2064"/>
        <w:gridCol w:w="2064"/>
        <w:gridCol w:w="2064"/>
        <w:gridCol w:w="2064"/>
        <w:gridCol w:w="2064"/>
      </w:tblGrid>
      <w:tr>
        <w:trPr>
          <w:tblHeader w:val="true"/>
        </w:trPr>
        <w:tc>
          <w:tcPr>
            <w:tcW w:type="dxa" w:w="680"/>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Lần</w:t>
            </w:r>
          </w:p>
        </w:tc>
        <w:tc>
          <w:tcPr>
            <w:tcW w:type="dxa" w:w="1247"/>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Ngày</w:t>
            </w:r>
          </w:p>
        </w:tc>
        <w:tc>
          <w:tcPr>
            <w:tcW w:type="dxa" w:w="5669"/>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Nội dung sửa đổi</w:t>
            </w:r>
          </w:p>
        </w:tc>
        <w:tc>
          <w:tcPr>
            <w:tcW w:type="dxa" w:w="1304"/>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Phê duyệt</w:t>
            </w:r>
          </w:p>
        </w:tc>
        <w:tc>
          <w:tcPr>
            <w:tcW w:type="dxa" w:w="1304"/>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Soạn thảo</w:t>
            </w:r>
          </w:p>
        </w:tc>
      </w:tr>
      <w:tr>
        <w:tc>
          <w:tcPr>
            <w:tcW w:type="dxa" w:w="680"/>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01</w:t>
            </w:r>
          </w:p>
        </w:tc>
        <w:tc>
          <w:tcPr>
            <w:tcW w:type="dxa" w:w="124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13/06/2026</w:t>
            </w:r>
          </w:p>
        </w:tc>
        <w:tc>
          <w:tcPr>
            <w:tcW w:type="dxa" w:w="5669"/>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0"/>
              </w:rPr>
              <w:t>Ban hành lần đầu</w:t>
            </w:r>
          </w:p>
        </w:tc>
        <w:tc>
          <w:tcPr>
            <w:tcW w:type="dxa" w:w="1304"/>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Đào Văn Tiến</w:t>
            </w:r>
          </w:p>
        </w:tc>
        <w:tc>
          <w:tcPr>
            <w:tcW w:type="dxa" w:w="1304"/>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Nguyễn Huy Chiến</w:t>
            </w:r>
          </w:p>
        </w:tc>
      </w:tr>
    </w:tbl>
    <w:p>
      <w:pPr>
        <w:spacing w:after="40"/>
      </w:pPr>
    </w:p>
    <w:p>
      <w:pPr>
        <w:spacing w:after="40" w:before="0" w:line="276" w:lineRule="auto"/>
      </w:pPr>
    </w:p>
    <w:p>
      <w:pPr>
        <w:spacing w:after="80" w:before="0" w:line="276" w:lineRule="auto"/>
      </w:pPr>
      <w:r>
        <w:rPr>
          <w:rFonts w:ascii="Times New Roman" w:hAnsi="Times New Roman" w:cs="Times New Roman" w:eastAsia="Times New Roman"/>
          <w:b w:val="0"/>
          <w:i/>
          <w:color w:val="595959"/>
          <w:sz w:val="22"/>
        </w:rPr>
        <w:t>Căn cứ Thông tư 24/2019/TT-BYT về quản lý và sử dụng phụ gia thực phẩm (hợp nhất tại Văn bản hợp nhất 09/VBHN-BYT năm 2024). Sản phẩm bánh đậu xanh/bột đậu thuộc nhóm thực phẩm 07.2 “Bánh nướng nhỏ (ngọt, mặn, có hương vị mặn) và bột trộn sẵn”. Mức tối đa (ML) dưới đây được tra trực tiếp tại Phụ lục 2A của Thông tư cho nhóm 07.2. Bảng chỉ liệt kê phụ gia/phẩm màu thực tế có khai báo trong các bản tự công bố sản phẩm.</w:t>
      </w:r>
    </w:p>
    <w:tbl>
      <w:tblPr>
        <w:tblStyle w:val="TableGrid"/>
        <w:tblW w:type="auto" w:w="0"/>
        <w:jc w:val="center"/>
        <w:tblLayout w:type="fixed"/>
        <w:tblLook w:firstColumn="1" w:firstRow="1" w:lastColumn="0" w:lastRow="0" w:noHBand="0" w:noVBand="1" w:val="04A0"/>
      </w:tblPr>
      <w:tblGrid>
        <w:gridCol w:w="1032"/>
        <w:gridCol w:w="1032"/>
        <w:gridCol w:w="1032"/>
        <w:gridCol w:w="1032"/>
        <w:gridCol w:w="1032"/>
        <w:gridCol w:w="1032"/>
        <w:gridCol w:w="1032"/>
        <w:gridCol w:w="1032"/>
        <w:gridCol w:w="1032"/>
        <w:gridCol w:w="1032"/>
      </w:tblGrid>
      <w:tr>
        <w:trPr>
          <w:tblHeader w:val="true"/>
        </w:trPr>
        <w:tc>
          <w:tcPr>
            <w:tcW w:type="dxa" w:w="510"/>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STT</w:t>
            </w:r>
          </w:p>
        </w:tc>
        <w:tc>
          <w:tcPr>
            <w:tcW w:type="dxa" w:w="1587"/>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Tên phụ gia</w:t>
            </w:r>
          </w:p>
        </w:tc>
        <w:tc>
          <w:tcPr>
            <w:tcW w:type="dxa" w:w="907"/>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INS</w:t>
            </w:r>
          </w:p>
        </w:tc>
        <w:tc>
          <w:tcPr>
            <w:tcW w:type="dxa" w:w="1474"/>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Nhóm chức năng</w:t>
            </w:r>
          </w:p>
        </w:tc>
        <w:tc>
          <w:tcPr>
            <w:tcW w:type="dxa" w:w="1587"/>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Sản phẩm áp dụng</w:t>
            </w:r>
          </w:p>
        </w:tc>
        <w:tc>
          <w:tcPr>
            <w:tcW w:type="dxa" w:w="2268"/>
            <w:vAlign w:val="center"/>
            <w:tcMar>
              <w:top w:w="40" w:type="dxa"/>
              <w:bottom w:w="40" w:type="dxa"/>
              <w:start w:w="80" w:type="dxa"/>
              <w:end w:w="80" w:type="dxa"/>
            </w:tcMar>
            <w:shd w:val="clear" w:color="auto" w:fill="D9E2F3"/>
          </w:tcPr>
          <w:p>
            <w:pPr>
              <w:spacing w:after="0" w:before="0" w:line="264" w:lineRule="auto"/>
              <w:jc w:val="center"/>
            </w:pPr>
            <w:r>
              <w:t>Mức tối đa (ML) – TT 24/2019, nhóm 07.2</w:t>
            </w:r>
            <w:r>
              <w:rPr>
                <w:rFonts w:ascii="Times New Roman" w:hAnsi="Times New Roman" w:cs="Times New Roman" w:eastAsia="Times New Roman"/>
                <w:b/>
                <w:i w:val="0"/>
                <w:sz w:val="22"/>
              </w:rPr>
            </w:r>
          </w:p>
        </w:tc>
        <w:tc>
          <w:tcPr>
            <w:tcW w:type="dxa" w:w="1134"/>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Mức sử dụng thực tế</w:t>
            </w:r>
          </w:p>
        </w:tc>
        <w:tc>
          <w:tcPr>
            <w:tcW w:type="dxa" w:w="1134"/>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Nhà cung cấp</w:t>
            </w:r>
          </w:p>
        </w:tc>
        <w:tc>
          <w:tcPr>
            <w:tcW w:type="dxa" w:w="1361"/>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Số tự công bố / COA</w:t>
            </w:r>
          </w:p>
        </w:tc>
        <w:tc>
          <w:tcPr>
            <w:tcW w:type="dxa" w:w="1701"/>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Ghi chú</w:t>
            </w:r>
          </w:p>
        </w:tc>
      </w:tr>
      <w:tr>
        <w:tc>
          <w:tcPr>
            <w:tcW w:type="dxa" w:w="510"/>
            <w:vAlign w:val="center"/>
            <w:tcMar>
              <w:top w:w="40" w:type="dxa"/>
              <w:bottom w:w="40" w:type="dxa"/>
              <w:start w:w="80" w:type="dxa"/>
              <w:end w:w="80" w:type="dxa"/>
            </w:tcMar>
          </w:tcPr>
          <w:p>
            <w:pPr>
              <w:spacing w:after="0" w:before="0" w:line="264" w:lineRule="auto"/>
              <w:jc w:val="center"/>
            </w:pPr>
            <w:r>
              <w:t>1</w:t>
            </w:r>
            <w:r>
              <w:rPr>
                <w:rFonts w:ascii="Times New Roman" w:hAnsi="Times New Roman" w:cs="Times New Roman" w:eastAsia="Times New Roman"/>
                <w:b w:val="0"/>
                <w:i w:val="0"/>
                <w:sz w:val="22"/>
              </w:rPr>
            </w:r>
          </w:p>
        </w:tc>
        <w:tc>
          <w:tcPr>
            <w:tcW w:type="dxa" w:w="1587"/>
            <w:vAlign w:val="center"/>
            <w:tcMar>
              <w:top w:w="40" w:type="dxa"/>
              <w:bottom w:w="40" w:type="dxa"/>
              <w:start w:w="80" w:type="dxa"/>
              <w:end w:w="80" w:type="dxa"/>
            </w:tcMar>
          </w:tcPr>
          <w:p>
            <w:pPr>
              <w:spacing w:after="0" w:before="0" w:line="264" w:lineRule="auto"/>
            </w:pPr>
            <w:r>
              <w:t>Sunset Yellow FCF (Vàng cam FCF)</w:t>
            </w:r>
            <w:r>
              <w:rPr>
                <w:rFonts w:ascii="Times New Roman" w:hAnsi="Times New Roman" w:cs="Times New Roman" w:eastAsia="Times New Roman"/>
                <w:b w:val="0"/>
                <w:i w:val="0"/>
                <w:sz w:val="22"/>
              </w:rPr>
            </w:r>
          </w:p>
        </w:tc>
        <w:tc>
          <w:tcPr>
            <w:tcW w:type="dxa" w:w="907"/>
            <w:vAlign w:val="center"/>
            <w:tcMar>
              <w:top w:w="40" w:type="dxa"/>
              <w:bottom w:w="40" w:type="dxa"/>
              <w:start w:w="80" w:type="dxa"/>
              <w:end w:w="80" w:type="dxa"/>
            </w:tcMar>
          </w:tcPr>
          <w:p>
            <w:pPr>
              <w:spacing w:after="0" w:before="0" w:line="264" w:lineRule="auto"/>
              <w:jc w:val="center"/>
            </w:pPr>
            <w:r>
              <w:t>110</w:t>
            </w:r>
            <w:r>
              <w:rPr>
                <w:rFonts w:ascii="Times New Roman" w:hAnsi="Times New Roman" w:cs="Times New Roman" w:eastAsia="Times New Roman"/>
                <w:b w:val="0"/>
                <w:i w:val="0"/>
                <w:sz w:val="22"/>
              </w:rPr>
            </w:r>
          </w:p>
        </w:tc>
        <w:tc>
          <w:tcPr>
            <w:tcW w:type="dxa" w:w="1474"/>
            <w:vAlign w:val="center"/>
            <w:tcMar>
              <w:top w:w="40" w:type="dxa"/>
              <w:bottom w:w="40" w:type="dxa"/>
              <w:start w:w="80" w:type="dxa"/>
              <w:end w:w="80" w:type="dxa"/>
            </w:tcMar>
          </w:tcPr>
          <w:p>
            <w:pPr>
              <w:spacing w:after="0" w:before="0" w:line="264" w:lineRule="auto"/>
            </w:pPr>
            <w:r>
              <w:t>Phẩm màu (vàng cam)</w:t>
            </w:r>
            <w:r>
              <w:rPr>
                <w:rFonts w:ascii="Times New Roman" w:hAnsi="Times New Roman" w:cs="Times New Roman" w:eastAsia="Times New Roman"/>
                <w:b w:val="0"/>
                <w:i w:val="0"/>
                <w:sz w:val="22"/>
              </w:rPr>
            </w:r>
          </w:p>
        </w:tc>
        <w:tc>
          <w:tcPr>
            <w:tcW w:type="dxa" w:w="1587"/>
            <w:vAlign w:val="center"/>
            <w:tcMar>
              <w:top w:w="40" w:type="dxa"/>
              <w:bottom w:w="40" w:type="dxa"/>
              <w:start w:w="80" w:type="dxa"/>
              <w:end w:w="80" w:type="dxa"/>
            </w:tcMar>
          </w:tcPr>
          <w:p>
            <w:pPr>
              <w:spacing w:after="0" w:before="0" w:line="264" w:lineRule="auto"/>
            </w:pPr>
            <w:r>
              <w:t>Bánh đậu xanh hương vị cốm</w:t>
            </w:r>
            <w:r>
              <w:rPr>
                <w:rFonts w:ascii="Times New Roman" w:hAnsi="Times New Roman" w:cs="Times New Roman" w:eastAsia="Times New Roman"/>
                <w:b w:val="0"/>
                <w:i w:val="0"/>
                <w:sz w:val="22"/>
              </w:rPr>
            </w:r>
          </w:p>
        </w:tc>
        <w:tc>
          <w:tcPr>
            <w:tcW w:type="dxa" w:w="2268"/>
            <w:vAlign w:val="center"/>
            <w:tcMar>
              <w:top w:w="40" w:type="dxa"/>
              <w:bottom w:w="40" w:type="dxa"/>
              <w:start w:w="80" w:type="dxa"/>
              <w:end w:w="80" w:type="dxa"/>
            </w:tcMar>
          </w:tcPr>
          <w:p>
            <w:pPr>
              <w:spacing w:after="0" w:before="0" w:line="264" w:lineRule="auto"/>
            </w:pPr>
            <w:r>
              <w:t>50 mg/kg</w:t>
            </w:r>
            <w:r>
              <w:rPr>
                <w:rFonts w:ascii="Times New Roman" w:hAnsi="Times New Roman" w:cs="Times New Roman" w:eastAsia="Times New Roman"/>
                <w:b w:val="0"/>
                <w:i w:val="0"/>
                <w:sz w:val="22"/>
              </w:rPr>
            </w:r>
          </w:p>
        </w:tc>
        <w:tc>
          <w:tcPr>
            <w:tcW w:type="dxa" w:w="1134"/>
            <w:vAlign w:val="center"/>
            <w:tcMar>
              <w:top w:w="40" w:type="dxa"/>
              <w:bottom w:w="40" w:type="dxa"/>
              <w:start w:w="80" w:type="dxa"/>
              <w:end w:w="80" w:type="dxa"/>
            </w:tcMar>
          </w:tcPr>
          <w:p>
            <w:pPr>
              <w:spacing w:after="0" w:before="0" w:line="264" w:lineRule="auto"/>
            </w:pPr>
            <w:r>
              <w:t>Theo công thức, ≤ ML</w:t>
            </w:r>
            <w:r>
              <w:rPr>
                <w:rFonts w:ascii="Times New Roman" w:hAnsi="Times New Roman" w:cs="Times New Roman" w:eastAsia="Times New Roman"/>
                <w:b w:val="0"/>
                <w:i w:val="0"/>
                <w:sz w:val="22"/>
              </w:rPr>
            </w:r>
          </w:p>
        </w:tc>
        <w:tc>
          <w:tcPr>
            <w:tcW w:type="dxa" w:w="113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r>
          </w:p>
        </w:tc>
        <w:tc>
          <w:tcPr>
            <w:tcW w:type="dxa" w:w="136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r>
          </w:p>
        </w:tc>
        <w:tc>
          <w:tcPr>
            <w:tcW w:type="dxa" w:w="1701"/>
            <w:vAlign w:val="center"/>
            <w:tcMar>
              <w:top w:w="40" w:type="dxa"/>
              <w:bottom w:w="40" w:type="dxa"/>
              <w:start w:w="80" w:type="dxa"/>
              <w:end w:w="80" w:type="dxa"/>
            </w:tcMar>
          </w:tcPr>
          <w:p>
            <w:pPr>
              <w:spacing w:after="0" w:before="0" w:line="264" w:lineRule="auto"/>
            </w:pPr>
            <w:r>
              <w:t>TT 24/2019/TT-BYT, Phụ lục 2A, nhóm 07.2</w:t>
            </w:r>
            <w:r>
              <w:rPr>
                <w:rFonts w:ascii="Times New Roman" w:hAnsi="Times New Roman" w:cs="Times New Roman" w:eastAsia="Times New Roman"/>
                <w:b w:val="0"/>
                <w:i w:val="0"/>
                <w:sz w:val="22"/>
              </w:rPr>
            </w:r>
          </w:p>
        </w:tc>
      </w:tr>
      <w:tr>
        <w:tc>
          <w:tcPr>
            <w:tcW w:type="dxa" w:w="510"/>
            <w:vAlign w:val="center"/>
            <w:tcMar>
              <w:top w:w="40" w:type="dxa"/>
              <w:bottom w:w="40" w:type="dxa"/>
              <w:start w:w="80" w:type="dxa"/>
              <w:end w:w="80" w:type="dxa"/>
            </w:tcMar>
          </w:tcPr>
          <w:p>
            <w:pPr>
              <w:spacing w:after="0" w:before="0" w:line="264" w:lineRule="auto"/>
              <w:jc w:val="center"/>
            </w:pPr>
            <w:r>
              <w:t>2</w:t>
            </w:r>
            <w:r>
              <w:rPr>
                <w:rFonts w:ascii="Times New Roman" w:hAnsi="Times New Roman" w:cs="Times New Roman" w:eastAsia="Times New Roman"/>
                <w:b w:val="0"/>
                <w:i w:val="0"/>
                <w:sz w:val="22"/>
              </w:rPr>
            </w:r>
          </w:p>
        </w:tc>
        <w:tc>
          <w:tcPr>
            <w:tcW w:type="dxa" w:w="1587"/>
            <w:vAlign w:val="center"/>
            <w:tcMar>
              <w:top w:w="40" w:type="dxa"/>
              <w:bottom w:w="40" w:type="dxa"/>
              <w:start w:w="80" w:type="dxa"/>
              <w:end w:w="80" w:type="dxa"/>
            </w:tcMar>
          </w:tcPr>
          <w:p>
            <w:pPr>
              <w:spacing w:after="0" w:before="0" w:line="264" w:lineRule="auto"/>
            </w:pPr>
            <w:r>
              <w:t>Allura Red AC (Đỏ Allura)</w:t>
            </w:r>
            <w:r>
              <w:rPr>
                <w:rFonts w:ascii="Times New Roman" w:hAnsi="Times New Roman" w:cs="Times New Roman" w:eastAsia="Times New Roman"/>
                <w:b w:val="0"/>
                <w:i w:val="0"/>
                <w:sz w:val="22"/>
              </w:rPr>
            </w:r>
          </w:p>
        </w:tc>
        <w:tc>
          <w:tcPr>
            <w:tcW w:type="dxa" w:w="907"/>
            <w:vAlign w:val="center"/>
            <w:tcMar>
              <w:top w:w="40" w:type="dxa"/>
              <w:bottom w:w="40" w:type="dxa"/>
              <w:start w:w="80" w:type="dxa"/>
              <w:end w:w="80" w:type="dxa"/>
            </w:tcMar>
          </w:tcPr>
          <w:p>
            <w:pPr>
              <w:spacing w:after="0" w:before="0" w:line="264" w:lineRule="auto"/>
              <w:jc w:val="center"/>
            </w:pPr>
            <w:r>
              <w:t>129</w:t>
            </w:r>
            <w:r>
              <w:rPr>
                <w:rFonts w:ascii="Times New Roman" w:hAnsi="Times New Roman" w:cs="Times New Roman" w:eastAsia="Times New Roman"/>
                <w:b w:val="0"/>
                <w:i w:val="0"/>
                <w:sz w:val="22"/>
              </w:rPr>
            </w:r>
          </w:p>
        </w:tc>
        <w:tc>
          <w:tcPr>
            <w:tcW w:type="dxa" w:w="1474"/>
            <w:vAlign w:val="center"/>
            <w:tcMar>
              <w:top w:w="40" w:type="dxa"/>
              <w:bottom w:w="40" w:type="dxa"/>
              <w:start w:w="80" w:type="dxa"/>
              <w:end w:w="80" w:type="dxa"/>
            </w:tcMar>
          </w:tcPr>
          <w:p>
            <w:pPr>
              <w:spacing w:after="0" w:before="0" w:line="264" w:lineRule="auto"/>
            </w:pPr>
            <w:r>
              <w:t>Phẩm màu (đỏ)</w:t>
            </w:r>
            <w:r>
              <w:rPr>
                <w:rFonts w:ascii="Times New Roman" w:hAnsi="Times New Roman" w:cs="Times New Roman" w:eastAsia="Times New Roman"/>
                <w:b w:val="0"/>
                <w:i w:val="0"/>
                <w:sz w:val="22"/>
              </w:rPr>
            </w:r>
          </w:p>
        </w:tc>
        <w:tc>
          <w:tcPr>
            <w:tcW w:type="dxa" w:w="1587"/>
            <w:vAlign w:val="center"/>
            <w:tcMar>
              <w:top w:w="40" w:type="dxa"/>
              <w:bottom w:w="40" w:type="dxa"/>
              <w:start w:w="80" w:type="dxa"/>
              <w:end w:w="80" w:type="dxa"/>
            </w:tcMar>
          </w:tcPr>
          <w:p>
            <w:pPr>
              <w:spacing w:after="0" w:before="0" w:line="264" w:lineRule="auto"/>
            </w:pPr>
            <w:r>
              <w:t>Bánh đậu xanh hương vị trái cây; hương vị khoai môn</w:t>
            </w:r>
            <w:r>
              <w:rPr>
                <w:rFonts w:ascii="Times New Roman" w:hAnsi="Times New Roman" w:cs="Times New Roman" w:eastAsia="Times New Roman"/>
                <w:b w:val="0"/>
                <w:i w:val="0"/>
                <w:sz w:val="22"/>
              </w:rPr>
            </w:r>
          </w:p>
        </w:tc>
        <w:tc>
          <w:tcPr>
            <w:tcW w:type="dxa" w:w="2268"/>
            <w:vAlign w:val="center"/>
            <w:tcMar>
              <w:top w:w="40" w:type="dxa"/>
              <w:bottom w:w="40" w:type="dxa"/>
              <w:start w:w="80" w:type="dxa"/>
              <w:end w:w="80" w:type="dxa"/>
            </w:tcMar>
          </w:tcPr>
          <w:p>
            <w:pPr>
              <w:spacing w:after="0" w:before="0" w:line="264" w:lineRule="auto"/>
            </w:pPr>
            <w:r>
              <w:t>300 mg/kg</w:t>
            </w:r>
            <w:r>
              <w:rPr>
                <w:rFonts w:ascii="Times New Roman" w:hAnsi="Times New Roman" w:cs="Times New Roman" w:eastAsia="Times New Roman"/>
                <w:b w:val="0"/>
                <w:i w:val="0"/>
                <w:sz w:val="22"/>
              </w:rPr>
            </w:r>
          </w:p>
        </w:tc>
        <w:tc>
          <w:tcPr>
            <w:tcW w:type="dxa" w:w="1134"/>
            <w:vAlign w:val="center"/>
            <w:tcMar>
              <w:top w:w="40" w:type="dxa"/>
              <w:bottom w:w="40" w:type="dxa"/>
              <w:start w:w="80" w:type="dxa"/>
              <w:end w:w="80" w:type="dxa"/>
            </w:tcMar>
          </w:tcPr>
          <w:p>
            <w:pPr>
              <w:spacing w:after="0" w:before="0" w:line="264" w:lineRule="auto"/>
            </w:pPr>
            <w:r>
              <w:t>Theo công thức, ≤ ML</w:t>
            </w:r>
            <w:r>
              <w:rPr>
                <w:rFonts w:ascii="Times New Roman" w:hAnsi="Times New Roman" w:cs="Times New Roman" w:eastAsia="Times New Roman"/>
                <w:b w:val="0"/>
                <w:i w:val="0"/>
                <w:sz w:val="22"/>
              </w:rPr>
            </w:r>
          </w:p>
        </w:tc>
        <w:tc>
          <w:tcPr>
            <w:tcW w:type="dxa" w:w="113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r>
          </w:p>
        </w:tc>
        <w:tc>
          <w:tcPr>
            <w:tcW w:type="dxa" w:w="136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r>
          </w:p>
        </w:tc>
        <w:tc>
          <w:tcPr>
            <w:tcW w:type="dxa" w:w="1701"/>
            <w:vAlign w:val="center"/>
            <w:tcMar>
              <w:top w:w="40" w:type="dxa"/>
              <w:bottom w:w="40" w:type="dxa"/>
              <w:start w:w="80" w:type="dxa"/>
              <w:end w:w="80" w:type="dxa"/>
            </w:tcMar>
          </w:tcPr>
          <w:p>
            <w:pPr>
              <w:spacing w:after="0" w:before="0" w:line="264" w:lineRule="auto"/>
            </w:pPr>
            <w:r>
              <w:t>TT 24/2019/TT-BYT, Phụ lục 2A, nhóm 07.2</w:t>
            </w:r>
            <w:r>
              <w:rPr>
                <w:rFonts w:ascii="Times New Roman" w:hAnsi="Times New Roman" w:cs="Times New Roman" w:eastAsia="Times New Roman"/>
                <w:b w:val="0"/>
                <w:i w:val="0"/>
                <w:sz w:val="22"/>
              </w:rPr>
            </w:r>
          </w:p>
        </w:tc>
      </w:tr>
      <w:tr>
        <w:tc>
          <w:tcPr>
            <w:tcW w:type="dxa" w:w="510"/>
            <w:vAlign w:val="center"/>
            <w:tcMar>
              <w:top w:w="40" w:type="dxa"/>
              <w:bottom w:w="40" w:type="dxa"/>
              <w:start w:w="80" w:type="dxa"/>
              <w:end w:w="80" w:type="dxa"/>
            </w:tcMar>
          </w:tcPr>
          <w:p>
            <w:pPr>
              <w:spacing w:after="0" w:before="0" w:line="264" w:lineRule="auto"/>
              <w:jc w:val="center"/>
            </w:pPr>
            <w:r>
              <w:t>3</w:t>
            </w:r>
            <w:r>
              <w:rPr>
                <w:rFonts w:ascii="Times New Roman" w:hAnsi="Times New Roman" w:cs="Times New Roman" w:eastAsia="Times New Roman"/>
                <w:b w:val="0"/>
                <w:i w:val="0"/>
                <w:sz w:val="22"/>
              </w:rPr>
            </w:r>
          </w:p>
        </w:tc>
        <w:tc>
          <w:tcPr>
            <w:tcW w:type="dxa" w:w="1587"/>
            <w:vAlign w:val="center"/>
            <w:tcMar>
              <w:top w:w="40" w:type="dxa"/>
              <w:bottom w:w="40" w:type="dxa"/>
              <w:start w:w="80" w:type="dxa"/>
              <w:end w:w="80" w:type="dxa"/>
            </w:tcMar>
          </w:tcPr>
          <w:p>
            <w:pPr>
              <w:spacing w:after="0" w:before="0" w:line="264" w:lineRule="auto"/>
            </w:pPr>
            <w:r>
              <w:t>Brilliant Blue FCF (Xanh Brilliant FCF)</w:t>
            </w:r>
            <w:r>
              <w:rPr>
                <w:rFonts w:ascii="Times New Roman" w:hAnsi="Times New Roman" w:cs="Times New Roman" w:eastAsia="Times New Roman"/>
                <w:b w:val="0"/>
                <w:i w:val="0"/>
                <w:sz w:val="22"/>
              </w:rPr>
            </w:r>
          </w:p>
        </w:tc>
        <w:tc>
          <w:tcPr>
            <w:tcW w:type="dxa" w:w="907"/>
            <w:vAlign w:val="center"/>
            <w:tcMar>
              <w:top w:w="40" w:type="dxa"/>
              <w:bottom w:w="40" w:type="dxa"/>
              <w:start w:w="80" w:type="dxa"/>
              <w:end w:w="80" w:type="dxa"/>
            </w:tcMar>
          </w:tcPr>
          <w:p>
            <w:pPr>
              <w:spacing w:after="0" w:before="0" w:line="264" w:lineRule="auto"/>
              <w:jc w:val="center"/>
            </w:pPr>
            <w:r>
              <w:t>133</w:t>
            </w:r>
            <w:r>
              <w:rPr>
                <w:rFonts w:ascii="Times New Roman" w:hAnsi="Times New Roman" w:cs="Times New Roman" w:eastAsia="Times New Roman"/>
                <w:b w:val="0"/>
                <w:i w:val="0"/>
                <w:sz w:val="22"/>
              </w:rPr>
            </w:r>
          </w:p>
        </w:tc>
        <w:tc>
          <w:tcPr>
            <w:tcW w:type="dxa" w:w="1474"/>
            <w:vAlign w:val="center"/>
            <w:tcMar>
              <w:top w:w="40" w:type="dxa"/>
              <w:bottom w:w="40" w:type="dxa"/>
              <w:start w:w="80" w:type="dxa"/>
              <w:end w:w="80" w:type="dxa"/>
            </w:tcMar>
          </w:tcPr>
          <w:p>
            <w:pPr>
              <w:spacing w:after="0" w:before="0" w:line="264" w:lineRule="auto"/>
            </w:pPr>
            <w:r>
              <w:t>Phẩm màu (xanh)</w:t>
            </w:r>
            <w:r>
              <w:rPr>
                <w:rFonts w:ascii="Times New Roman" w:hAnsi="Times New Roman" w:cs="Times New Roman" w:eastAsia="Times New Roman"/>
                <w:b w:val="0"/>
                <w:i w:val="0"/>
                <w:sz w:val="22"/>
              </w:rPr>
            </w:r>
          </w:p>
        </w:tc>
        <w:tc>
          <w:tcPr>
            <w:tcW w:type="dxa" w:w="1587"/>
            <w:vAlign w:val="center"/>
            <w:tcMar>
              <w:top w:w="40" w:type="dxa"/>
              <w:bottom w:w="40" w:type="dxa"/>
              <w:start w:w="80" w:type="dxa"/>
              <w:end w:w="80" w:type="dxa"/>
            </w:tcMar>
          </w:tcPr>
          <w:p>
            <w:pPr>
              <w:spacing w:after="0" w:before="0" w:line="264" w:lineRule="auto"/>
            </w:pPr>
            <w:r>
              <w:t>Bánh đậu xanh hương vị trái cây; khoai môn; cốm</w:t>
            </w:r>
            <w:r>
              <w:rPr>
                <w:rFonts w:ascii="Times New Roman" w:hAnsi="Times New Roman" w:cs="Times New Roman" w:eastAsia="Times New Roman"/>
                <w:b w:val="0"/>
                <w:i w:val="0"/>
                <w:sz w:val="22"/>
              </w:rPr>
            </w:r>
          </w:p>
        </w:tc>
        <w:tc>
          <w:tcPr>
            <w:tcW w:type="dxa" w:w="2268"/>
            <w:vAlign w:val="center"/>
            <w:tcMar>
              <w:top w:w="40" w:type="dxa"/>
              <w:bottom w:w="40" w:type="dxa"/>
              <w:start w:w="80" w:type="dxa"/>
              <w:end w:w="80" w:type="dxa"/>
            </w:tcMar>
          </w:tcPr>
          <w:p>
            <w:pPr>
              <w:spacing w:after="0" w:before="0" w:line="264" w:lineRule="auto"/>
            </w:pPr>
            <w:r>
              <w:t>200 mg/kg</w:t>
            </w:r>
            <w:r>
              <w:rPr>
                <w:rFonts w:ascii="Times New Roman" w:hAnsi="Times New Roman" w:cs="Times New Roman" w:eastAsia="Times New Roman"/>
                <w:b w:val="0"/>
                <w:i w:val="0"/>
                <w:sz w:val="22"/>
              </w:rPr>
            </w:r>
          </w:p>
        </w:tc>
        <w:tc>
          <w:tcPr>
            <w:tcW w:type="dxa" w:w="1134"/>
            <w:vAlign w:val="center"/>
            <w:tcMar>
              <w:top w:w="40" w:type="dxa"/>
              <w:bottom w:w="40" w:type="dxa"/>
              <w:start w:w="80" w:type="dxa"/>
              <w:end w:w="80" w:type="dxa"/>
            </w:tcMar>
          </w:tcPr>
          <w:p>
            <w:pPr>
              <w:spacing w:after="0" w:before="0" w:line="264" w:lineRule="auto"/>
            </w:pPr>
            <w:r>
              <w:t>Theo công thức, ≤ ML</w:t>
            </w:r>
            <w:r>
              <w:rPr>
                <w:rFonts w:ascii="Times New Roman" w:hAnsi="Times New Roman" w:cs="Times New Roman" w:eastAsia="Times New Roman"/>
                <w:b w:val="0"/>
                <w:i w:val="0"/>
                <w:sz w:val="22"/>
              </w:rPr>
            </w:r>
          </w:p>
        </w:tc>
        <w:tc>
          <w:tcPr>
            <w:tcW w:type="dxa" w:w="113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r>
          </w:p>
        </w:tc>
        <w:tc>
          <w:tcPr>
            <w:tcW w:type="dxa" w:w="136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r>
          </w:p>
        </w:tc>
        <w:tc>
          <w:tcPr>
            <w:tcW w:type="dxa" w:w="1701"/>
            <w:vAlign w:val="center"/>
            <w:tcMar>
              <w:top w:w="40" w:type="dxa"/>
              <w:bottom w:w="40" w:type="dxa"/>
              <w:start w:w="80" w:type="dxa"/>
              <w:end w:w="80" w:type="dxa"/>
            </w:tcMar>
          </w:tcPr>
          <w:p>
            <w:pPr>
              <w:spacing w:after="0" w:before="0" w:line="264" w:lineRule="auto"/>
            </w:pPr>
            <w:r>
              <w:t>TT 24/2019/TT-BYT, Phụ lục 2A, nhóm 07.2</w:t>
            </w:r>
            <w:r>
              <w:rPr>
                <w:rFonts w:ascii="Times New Roman" w:hAnsi="Times New Roman" w:cs="Times New Roman" w:eastAsia="Times New Roman"/>
                <w:b w:val="0"/>
                <w:i w:val="0"/>
                <w:sz w:val="22"/>
              </w:rPr>
            </w:r>
          </w:p>
        </w:tc>
      </w:tr>
      <w:tr>
        <w:tc>
          <w:tcPr>
            <w:tcW w:type="dxa" w:w="510"/>
            <w:vAlign w:val="center"/>
            <w:tcMar>
              <w:top w:w="40" w:type="dxa"/>
              <w:bottom w:w="40" w:type="dxa"/>
              <w:start w:w="80" w:type="dxa"/>
              <w:end w:w="80" w:type="dxa"/>
            </w:tcMar>
          </w:tcPr>
          <w:p>
            <w:pPr>
              <w:spacing w:after="0" w:before="0" w:line="264" w:lineRule="auto"/>
              <w:jc w:val="center"/>
            </w:pPr>
            <w:r>
              <w:t>4</w:t>
            </w:r>
            <w:r>
              <w:rPr>
                <w:rFonts w:ascii="Times New Roman" w:hAnsi="Times New Roman" w:cs="Times New Roman" w:eastAsia="Times New Roman"/>
                <w:b w:val="0"/>
                <w:i w:val="0"/>
                <w:sz w:val="22"/>
              </w:rPr>
            </w:r>
          </w:p>
        </w:tc>
        <w:tc>
          <w:tcPr>
            <w:tcW w:type="dxa" w:w="1587"/>
            <w:vAlign w:val="center"/>
            <w:tcMar>
              <w:top w:w="40" w:type="dxa"/>
              <w:bottom w:w="40" w:type="dxa"/>
              <w:start w:w="80" w:type="dxa"/>
              <w:end w:w="80" w:type="dxa"/>
            </w:tcMar>
          </w:tcPr>
          <w:p>
            <w:pPr>
              <w:spacing w:after="0" w:before="0" w:line="264" w:lineRule="auto"/>
            </w:pPr>
            <w:r>
              <w:t>Hương liệu tổng hợp (vani, sầu riêng, sen, dừa, khoai môn, cốm, chuối)</w:t>
            </w:r>
            <w:r>
              <w:rPr>
                <w:rFonts w:ascii="Times New Roman" w:hAnsi="Times New Roman" w:cs="Times New Roman" w:eastAsia="Times New Roman"/>
                <w:b w:val="0"/>
                <w:i w:val="0"/>
                <w:sz w:val="22"/>
              </w:rPr>
            </w:r>
          </w:p>
        </w:tc>
        <w:tc>
          <w:tcPr>
            <w:tcW w:type="dxa" w:w="907"/>
            <w:vAlign w:val="center"/>
            <w:tcMar>
              <w:top w:w="40" w:type="dxa"/>
              <w:bottom w:w="40" w:type="dxa"/>
              <w:start w:w="80" w:type="dxa"/>
              <w:end w:w="80" w:type="dxa"/>
            </w:tcMar>
          </w:tcPr>
          <w:p>
            <w:pPr>
              <w:spacing w:after="0" w:before="0" w:line="264" w:lineRule="auto"/>
              <w:jc w:val="center"/>
            </w:pPr>
            <w:r>
              <w:t>–</w:t>
            </w:r>
            <w:r>
              <w:rPr>
                <w:rFonts w:ascii="Times New Roman" w:hAnsi="Times New Roman" w:cs="Times New Roman" w:eastAsia="Times New Roman"/>
                <w:b w:val="0"/>
                <w:i w:val="0"/>
                <w:sz w:val="22"/>
              </w:rPr>
            </w:r>
          </w:p>
        </w:tc>
        <w:tc>
          <w:tcPr>
            <w:tcW w:type="dxa" w:w="1474"/>
            <w:vAlign w:val="center"/>
            <w:tcMar>
              <w:top w:w="40" w:type="dxa"/>
              <w:bottom w:w="40" w:type="dxa"/>
              <w:start w:w="80" w:type="dxa"/>
              <w:end w:w="80" w:type="dxa"/>
            </w:tcMar>
          </w:tcPr>
          <w:p>
            <w:pPr>
              <w:spacing w:after="0" w:before="0" w:line="264" w:lineRule="auto"/>
            </w:pPr>
            <w:r>
              <w:t>Chất tạo hương</w:t>
            </w:r>
            <w:r>
              <w:rPr>
                <w:rFonts w:ascii="Times New Roman" w:hAnsi="Times New Roman" w:cs="Times New Roman" w:eastAsia="Times New Roman"/>
                <w:b w:val="0"/>
                <w:i w:val="0"/>
                <w:sz w:val="22"/>
              </w:rPr>
            </w:r>
          </w:p>
        </w:tc>
        <w:tc>
          <w:tcPr>
            <w:tcW w:type="dxa" w:w="1587"/>
            <w:vAlign w:val="center"/>
            <w:tcMar>
              <w:top w:w="40" w:type="dxa"/>
              <w:bottom w:w="40" w:type="dxa"/>
              <w:start w:w="80" w:type="dxa"/>
              <w:end w:w="80" w:type="dxa"/>
            </w:tcMar>
          </w:tcPr>
          <w:p>
            <w:pPr>
              <w:spacing w:after="0" w:before="0" w:line="264" w:lineRule="auto"/>
            </w:pPr>
            <w:r>
              <w:t>Tất cả các loại bánh đậu, bột đậu, chè (theo công thức)</w:t>
            </w:r>
            <w:r>
              <w:rPr>
                <w:rFonts w:ascii="Times New Roman" w:hAnsi="Times New Roman" w:cs="Times New Roman" w:eastAsia="Times New Roman"/>
                <w:b w:val="0"/>
                <w:i w:val="0"/>
                <w:sz w:val="22"/>
              </w:rPr>
            </w:r>
          </w:p>
        </w:tc>
        <w:tc>
          <w:tcPr>
            <w:tcW w:type="dxa" w:w="2268"/>
            <w:vAlign w:val="center"/>
            <w:tcMar>
              <w:top w:w="40" w:type="dxa"/>
              <w:bottom w:w="40" w:type="dxa"/>
              <w:start w:w="80" w:type="dxa"/>
              <w:end w:w="80" w:type="dxa"/>
            </w:tcMar>
          </w:tcPr>
          <w:p>
            <w:pPr>
              <w:spacing w:after="0" w:before="0" w:line="264" w:lineRule="auto"/>
            </w:pPr>
            <w:r>
              <w:t>GMP – không quy định ML định lượng</w:t>
            </w:r>
            <w:r>
              <w:rPr>
                <w:rFonts w:ascii="Times New Roman" w:hAnsi="Times New Roman" w:cs="Times New Roman" w:eastAsia="Times New Roman"/>
                <w:b w:val="0"/>
                <w:i w:val="0"/>
                <w:sz w:val="22"/>
              </w:rPr>
            </w:r>
          </w:p>
        </w:tc>
        <w:tc>
          <w:tcPr>
            <w:tcW w:type="dxa" w:w="1134"/>
            <w:vAlign w:val="center"/>
            <w:tcMar>
              <w:top w:w="40" w:type="dxa"/>
              <w:bottom w:w="40" w:type="dxa"/>
              <w:start w:w="80" w:type="dxa"/>
              <w:end w:w="80" w:type="dxa"/>
            </w:tcMar>
          </w:tcPr>
          <w:p>
            <w:pPr>
              <w:spacing w:after="0" w:before="0" w:line="264" w:lineRule="auto"/>
            </w:pPr>
            <w:r>
              <w:t>Theo công thức (GMP)</w:t>
            </w:r>
            <w:r>
              <w:rPr>
                <w:rFonts w:ascii="Times New Roman" w:hAnsi="Times New Roman" w:cs="Times New Roman" w:eastAsia="Times New Roman"/>
                <w:b w:val="0"/>
                <w:i w:val="0"/>
                <w:sz w:val="22"/>
              </w:rPr>
            </w:r>
          </w:p>
        </w:tc>
        <w:tc>
          <w:tcPr>
            <w:tcW w:type="dxa" w:w="113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r>
          </w:p>
        </w:tc>
        <w:tc>
          <w:tcPr>
            <w:tcW w:type="dxa" w:w="136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r>
          </w:p>
        </w:tc>
        <w:tc>
          <w:tcPr>
            <w:tcW w:type="dxa" w:w="1701"/>
            <w:vAlign w:val="center"/>
            <w:tcMar>
              <w:top w:w="40" w:type="dxa"/>
              <w:bottom w:w="40" w:type="dxa"/>
              <w:start w:w="80" w:type="dxa"/>
              <w:end w:w="80" w:type="dxa"/>
            </w:tcMar>
          </w:tcPr>
          <w:p>
            <w:pPr>
              <w:spacing w:after="0" w:before="0" w:line="264" w:lineRule="auto"/>
            </w:pPr>
            <w:r>
              <w:t>Sử dụng theo nguyên tắc GMP; lưu COA từng lô</w:t>
            </w:r>
            <w:r>
              <w:rPr>
                <w:rFonts w:ascii="Times New Roman" w:hAnsi="Times New Roman" w:cs="Times New Roman" w:eastAsia="Times New Roman"/>
                <w:b w:val="0"/>
                <w:i w:val="0"/>
                <w:sz w:val="22"/>
              </w:rPr>
            </w:r>
          </w:p>
        </w:tc>
      </w:tr>
    </w:tbl>
    <w:p>
      <w:pPr>
        <w:spacing w:after="40"/>
      </w:pPr>
    </w:p>
    <w:p>
      <w:pPr>
        <w:spacing w:after="60" w:before="160" w:line="276" w:lineRule="auto"/>
      </w:pPr>
      <w:r>
        <w:rPr>
          <w:rFonts w:ascii="Times New Roman" w:hAnsi="Times New Roman" w:cs="Times New Roman" w:eastAsia="Times New Roman"/>
          <w:b/>
          <w:i w:val="0"/>
          <w:color w:val="1F3864"/>
          <w:sz w:val="25"/>
        </w:rPr>
        <w:t>Nguyên tắc sử dụng phụ gia (TT 24/2019/TT-BYT)</w:t>
      </w:r>
    </w:p>
    <w:p>
      <w:pPr>
        <w:spacing w:after="40" w:before="0" w:line="276" w:lineRule="auto"/>
        <w:ind w:left="340"/>
      </w:pPr>
      <w:r>
        <w:rPr>
          <w:rFonts w:ascii="Times New Roman" w:hAnsi="Times New Roman" w:cs="Times New Roman" w:eastAsia="Times New Roman"/>
          <w:b/>
          <w:i w:val="0"/>
          <w:sz w:val="24"/>
        </w:rPr>
        <w:t xml:space="preserve">1.  </w:t>
      </w:r>
      <w:r>
        <w:rPr>
          <w:rFonts w:ascii="Times New Roman" w:hAnsi="Times New Roman" w:cs="Times New Roman" w:eastAsia="Times New Roman"/>
          <w:b w:val="0"/>
          <w:i w:val="0"/>
          <w:sz w:val="24"/>
        </w:rPr>
        <w:t>Chỉ sử dụng phụ gia thuộc danh mục được phép và đúng đối tượng thực phẩm (đúng nhóm thực phẩm theo mã nhóm).</w:t>
      </w:r>
    </w:p>
    <w:p>
      <w:pPr>
        <w:spacing w:after="40" w:before="0" w:line="276" w:lineRule="auto"/>
        <w:ind w:left="340"/>
      </w:pPr>
      <w:r>
        <w:rPr>
          <w:rFonts w:ascii="Times New Roman" w:hAnsi="Times New Roman" w:cs="Times New Roman" w:eastAsia="Times New Roman"/>
          <w:b/>
          <w:i w:val="0"/>
          <w:sz w:val="24"/>
        </w:rPr>
        <w:t xml:space="preserve">2.  </w:t>
      </w:r>
      <w:r>
        <w:rPr>
          <w:rFonts w:ascii="Times New Roman" w:hAnsi="Times New Roman" w:cs="Times New Roman" w:eastAsia="Times New Roman"/>
          <w:b w:val="0"/>
          <w:i w:val="0"/>
          <w:sz w:val="24"/>
        </w:rPr>
        <w:t>Không vượt quá mức sử dụng tối đa (ML) quy định tại Phụ lục của Thông tư 24/2019/TT-BYT.</w:t>
      </w:r>
    </w:p>
    <w:p>
      <w:pPr>
        <w:spacing w:after="40" w:before="0" w:line="276" w:lineRule="auto"/>
        <w:ind w:left="340"/>
      </w:pPr>
      <w:r>
        <w:rPr>
          <w:rFonts w:ascii="Times New Roman" w:hAnsi="Times New Roman" w:cs="Times New Roman" w:eastAsia="Times New Roman"/>
          <w:b/>
          <w:i w:val="0"/>
          <w:sz w:val="24"/>
        </w:rPr>
        <w:t xml:space="preserve">3.  </w:t>
      </w:r>
      <w:r>
        <w:rPr>
          <w:rFonts w:ascii="Times New Roman" w:hAnsi="Times New Roman" w:cs="Times New Roman" w:eastAsia="Times New Roman"/>
          <w:b w:val="0"/>
          <w:i w:val="0"/>
          <w:sz w:val="24"/>
        </w:rPr>
        <w:t>Hạn chế đến mức thấp nhất lượng phụ gia cần dùng để đạt hiệu quả mong muốn (nguyên tắc GMP).</w:t>
      </w:r>
    </w:p>
    <w:p>
      <w:pPr>
        <w:spacing w:after="40" w:before="0" w:line="276" w:lineRule="auto"/>
        <w:ind w:left="340"/>
      </w:pPr>
      <w:r>
        <w:rPr>
          <w:rFonts w:ascii="Times New Roman" w:hAnsi="Times New Roman" w:cs="Times New Roman" w:eastAsia="Times New Roman"/>
          <w:b/>
          <w:i w:val="0"/>
          <w:sz w:val="24"/>
        </w:rPr>
        <w:t xml:space="preserve">4.  </w:t>
      </w:r>
      <w:r>
        <w:rPr>
          <w:rFonts w:ascii="Times New Roman" w:hAnsi="Times New Roman" w:cs="Times New Roman" w:eastAsia="Times New Roman"/>
          <w:b w:val="0"/>
          <w:i w:val="0"/>
          <w:sz w:val="24"/>
        </w:rPr>
        <w:t>Lưu COA/CA và số tự công bố sản phẩm phụ gia cho từng lô nhập.</w:t>
      </w:r>
    </w:p>
    <w:p>
      <w:pPr>
        <w:spacing w:after="40" w:before="0" w:line="276" w:lineRule="auto"/>
        <w:ind w:left="340"/>
      </w:pPr>
      <w:r>
        <w:rPr>
          <w:rFonts w:ascii="Times New Roman" w:hAnsi="Times New Roman" w:cs="Times New Roman" w:eastAsia="Times New Roman"/>
          <w:b/>
          <w:i w:val="0"/>
          <w:sz w:val="24"/>
        </w:rPr>
        <w:t xml:space="preserve">5.  </w:t>
      </w:r>
      <w:r>
        <w:rPr>
          <w:rFonts w:ascii="Times New Roman" w:hAnsi="Times New Roman" w:cs="Times New Roman" w:eastAsia="Times New Roman"/>
          <w:b w:val="0"/>
          <w:i w:val="0"/>
          <w:sz w:val="24"/>
        </w:rPr>
        <w:t>Tuyệt đối không sử dụng phẩm màu/phụ gia ngoài danh mục cho phép.</w:t>
      </w:r>
    </w:p>
    <w:p>
      <w:pPr>
        <w:spacing w:after="40" w:before="0" w:line="276" w:lineRule="auto"/>
        <w:ind w:left="340"/>
      </w:pPr>
      <w:r>
        <w:rPr>
          <w:rFonts w:ascii="Times New Roman" w:hAnsi="Times New Roman" w:cs="Times New Roman" w:eastAsia="Times New Roman"/>
          <w:b/>
          <w:i w:val="0"/>
          <w:sz w:val="24"/>
        </w:rPr>
        <w:t xml:space="preserve">6.  </w:t>
      </w:r>
      <w:r>
        <w:rPr>
          <w:rFonts w:ascii="Times New Roman" w:hAnsi="Times New Roman" w:cs="Times New Roman" w:eastAsia="Times New Roman"/>
          <w:b w:val="0"/>
          <w:i w:val="0"/>
          <w:sz w:val="24"/>
        </w:rPr>
        <w:t>Rà soát, cập nhật bảng định mức khi thay đổi công thức hoặc khi Thông tư được sửa đổi.</w:t>
      </w:r>
    </w:p>
    <w:sectPr w:rsidR="00FC693F" w:rsidRPr="0006063C" w:rsidSect="00034616">
      <w:headerReference w:type="default" r:id="rId9"/>
      <w:footerReference w:type="default" r:id="rId10"/>
      <w:pgSz w:w="11906" w:h="16838"/>
      <w:pgMar w:top="794" w:right="680"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color w:val="808080"/>
        <w:sz w:val="16"/>
      </w:rPr>
      <w:t>BM.PG.01 — Lần ban hành 01 — Ngày 13/06/2026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type="auto" w:w="0"/>
      <w:tblLook w:firstColumn="1" w:firstRow="1" w:lastColumn="0" w:lastRow="0" w:noHBand="0" w:noVBand="1" w:val="04A0"/>
    </w:tblPr>
    <w:tblGrid>
      <w:gridCol w:w="3439"/>
      <w:gridCol w:w="3439"/>
      <w:gridCol w:w="3439"/>
    </w:tblGrid>
    <w:tr>
      <w:tc>
        <w:tcPr>
          <w:tcW w:type="dxa" w:w="6917"/>
          <w:vMerge w:val="restart"/>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i w:val="0"/>
              <w:sz w:val="22"/>
            </w:rPr>
            <w:t>BẢNG ĐỊNH MỨC PHỤ GIA, PHẨM MÀU THỰC PHẨM</w:t>
          </w:r>
        </w:p>
      </w:tc>
      <w:tc>
        <w:tcPr>
          <w:tcW w:type="dxa" w:w="170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i w:val="0"/>
              <w:sz w:val="20"/>
            </w:rPr>
            <w:t>Mã số</w:t>
          </w:r>
        </w:p>
      </w:tc>
      <w:tc>
        <w:tcPr>
          <w:tcW w:type="dxa" w:w="1701"/>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BM.PG.01</w:t>
          </w:r>
        </w:p>
      </w:tc>
    </w:tr>
    <w:tr>
      <w:tc>
        <w:tcPr>
          <w:tcW w:type="dxa" w:w="6917"/>
          <w:vMerge/>
        </w:tcPr>
        <w:p/>
      </w:tc>
      <w:tc>
        <w:tcPr>
          <w:tcW w:type="dxa" w:w="170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i w:val="0"/>
              <w:sz w:val="20"/>
            </w:rPr>
            <w:t>Ngày ban hành</w:t>
          </w:r>
        </w:p>
      </w:tc>
      <w:tc>
        <w:tcPr>
          <w:tcW w:type="dxa" w:w="1701"/>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13/06/2026</w:t>
          </w:r>
        </w:p>
      </w:tc>
    </w:tr>
    <w:tr>
      <w:tc>
        <w:tcPr>
          <w:tcW w:type="dxa" w:w="6917"/>
          <w:vMerge/>
        </w:tcPr>
        <w:p/>
      </w:tc>
      <w:tc>
        <w:tcPr>
          <w:tcW w:type="dxa" w:w="170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i w:val="0"/>
              <w:sz w:val="20"/>
            </w:rPr>
            <w:t>Lần ban hành</w:t>
          </w:r>
        </w:p>
      </w:tc>
      <w:tc>
        <w:tcPr>
          <w:tcW w:type="dxa" w:w="1701"/>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