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CÔNG TY CỔ PHẦN HOÀNG GIANG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KẾ HOẠCH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1F3864"/>
          <w:sz w:val="30"/>
        </w:rPr>
        <w:t>LẤY MẪU, KIỂM NGHIỆM SẢN PHẨM</w:t>
        <w:br/>
        <w:t>VÀ GIÁM SÁT MÔI TRƯỜNG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Mã số: KH.KN.01        Lần ban hành: 01        Ngày ban hành: 13/06/2026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0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NGƯỜI SOẠN THẢO</w:t>
            </w:r>
          </w:p>
        </w:tc>
        <w:tc>
          <w:tcPr>
            <w:tcW w:type="dxa" w:w="510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NGƯỜI PHÊ DUYỆT</w:t>
            </w:r>
          </w:p>
        </w:tc>
      </w:tr>
      <w:tr>
        <w:tc>
          <w:tcPr>
            <w:tcW w:type="dxa" w:w="510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Nguyễn Huy Chiến</w:t>
            </w:r>
          </w:p>
        </w:tc>
        <w:tc>
          <w:tcPr>
            <w:tcW w:type="dxa" w:w="510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Đào Văn Tiến</w:t>
            </w:r>
          </w:p>
        </w:tc>
      </w:tr>
    </w:tbl>
    <w:p>
      <w:pPr>
        <w:spacing w:after="80" w:before="0" w:line="276" w:lineRule="auto"/>
      </w:pPr>
    </w:p>
    <w:p>
      <w:pPr>
        <w:spacing w:after="40" w:before="80" w:line="276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THEO DÕI SỬA ĐỔI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rPr>
          <w:tblHeader w:val="true"/>
        </w:trPr>
        <w:tc>
          <w:tcPr>
            <w:tcW w:type="dxa" w:w="68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Lần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Ngày</w:t>
            </w:r>
          </w:p>
        </w:tc>
        <w:tc>
          <w:tcPr>
            <w:tcW w:type="dxa" w:w="5669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Nội dung sửa đổi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Phê duyệt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Soạn thảo</w:t>
            </w:r>
          </w:p>
        </w:tc>
      </w:tr>
      <w:tr>
        <w:tc>
          <w:tcPr>
            <w:tcW w:type="dxa" w:w="68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01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13/06/2026</w:t>
            </w:r>
          </w:p>
        </w:tc>
        <w:tc>
          <w:tcPr>
            <w:tcW w:type="dxa" w:w="5669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Ban hành lần đầu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Đào Văn Tiến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Nguyễn Huy Chiến</w:t>
            </w:r>
          </w:p>
        </w:tc>
      </w:tr>
    </w:tbl>
    <w:p>
      <w:pPr>
        <w:spacing w:after="40"/>
      </w:pPr>
    </w:p>
    <w:p>
      <w:pPr>
        <w:spacing w:after="40" w:before="0" w:line="276" w:lineRule="auto"/>
      </w:pPr>
    </w:p>
    <w:p>
      <w:pPr>
        <w:spacing w:after="60" w:before="160" w:line="276" w:lineRule="auto"/>
      </w:pPr>
      <w:r>
        <w:rPr>
          <w:rFonts w:ascii="Times New Roman" w:hAnsi="Times New Roman" w:cs="Times New Roman" w:eastAsia="Times New Roman"/>
          <w:b/>
          <w:i w:val="0"/>
          <w:color w:val="1F3864"/>
          <w:sz w:val="25"/>
        </w:rPr>
        <w:t>1. Mục đích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Quy định chỉ tiêu, tần suất và cách thức lấy mẫu, kiểm nghiệm nguyên liệu – thành phẩm và giám sát môi trường sản xuất nhằm xác nhận hiệu lực kiểm soát an toàn thực phẩm và chất lượng.</w:t>
      </w:r>
    </w:p>
    <w:p>
      <w:pPr>
        <w:spacing w:after="60" w:before="160" w:line="276" w:lineRule="auto"/>
      </w:pPr>
      <w:r>
        <w:rPr>
          <w:rFonts w:ascii="Times New Roman" w:hAnsi="Times New Roman" w:cs="Times New Roman" w:eastAsia="Times New Roman"/>
          <w:b/>
          <w:i w:val="0"/>
          <w:color w:val="1F3864"/>
          <w:sz w:val="25"/>
        </w:rPr>
        <w:t>2. Phạm vi áp dụng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Áp dụng cho nguyên liệu chính, thành phẩm bánh đậu xanh – bột đậu và môi trường khu vực sản xuất, đóng gói.</w:t>
      </w:r>
    </w:p>
    <w:p>
      <w:pPr>
        <w:spacing w:after="60" w:before="160" w:line="276" w:lineRule="auto"/>
      </w:pPr>
      <w:r>
        <w:rPr>
          <w:rFonts w:ascii="Times New Roman" w:hAnsi="Times New Roman" w:cs="Times New Roman" w:eastAsia="Times New Roman"/>
          <w:b/>
          <w:i w:val="0"/>
          <w:color w:val="1F3864"/>
          <w:sz w:val="25"/>
        </w:rPr>
        <w:t>3. Tài liệu tham khảo</w:t>
      </w:r>
    </w:p>
    <w:p>
      <w:pPr>
        <w:spacing w:after="40" w:before="0" w:line="276" w:lineRule="auto"/>
        <w:ind w:left="340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QCVN 8-1:2011/BYT (độc tố vi nấm); QCVN 8-2:2011/BYT (kim loại nặng); QCVN 8-3:2012/BYT (vi sinh vật)</w:t>
      </w:r>
    </w:p>
    <w:p>
      <w:pPr>
        <w:spacing w:after="40" w:before="0" w:line="276" w:lineRule="auto"/>
        <w:ind w:left="340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QCVN 01-1:2024/BYT – Chất lượng nước sạch sinh hoạt</w:t>
      </w:r>
    </w:p>
    <w:p>
      <w:pPr>
        <w:spacing w:after="40" w:before="0" w:line="276" w:lineRule="auto"/>
        <w:ind w:left="340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TCVN 7240:2003 – Bánh đậu xanh</w:t>
      </w:r>
    </w:p>
    <w:p>
      <w:pPr>
        <w:spacing w:after="40" w:before="0" w:line="276" w:lineRule="auto"/>
        <w:ind w:left="340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ISO 22000:2018; QT 04 – Thẩm tra hệ thống</w:t>
      </w:r>
    </w:p>
    <w:p>
      <w:pPr>
        <w:spacing w:after="60" w:before="160" w:line="276" w:lineRule="auto"/>
      </w:pPr>
      <w:r>
        <w:rPr>
          <w:rFonts w:ascii="Times New Roman" w:hAnsi="Times New Roman" w:cs="Times New Roman" w:eastAsia="Times New Roman"/>
          <w:b/>
          <w:i w:val="0"/>
          <w:color w:val="1F3864"/>
          <w:sz w:val="25"/>
        </w:rPr>
        <w:t>4. Nội dung</w:t>
      </w:r>
    </w:p>
    <w:p>
      <w:pPr>
        <w:spacing w:after="40" w:before="100" w:line="276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4.1 Kiểm nghiệm thành phẩm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Lấy mẫu đại diện gửi phòng thử nghiệm đạt ISO/IEC 17025; tần suất tối thiểu 06 tháng/lần và khi có thay đổi công nghệ/nguyên liệu hoặc khiếu nại: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580"/>
      </w:tblGrid>
      <w:tr>
        <w:trPr>
          <w:tblHeader w:val="true"/>
        </w:trPr>
        <w:tc>
          <w:tcPr>
            <w:tcW w:type="dxa" w:w="1361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Nhóm</w:t>
            </w:r>
          </w:p>
        </w:tc>
        <w:tc>
          <w:tcPr>
            <w:tcW w:type="dxa" w:w="408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Chỉ tiêu</w:t>
            </w:r>
          </w:p>
        </w:tc>
        <w:tc>
          <w:tcPr>
            <w:tcW w:type="dxa" w:w="226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Giới hạn / Căn cứ</w:t>
            </w:r>
          </w:p>
        </w:tc>
        <w:tc>
          <w:tcPr>
            <w:tcW w:type="dxa" w:w="192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Tần suất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Vi sinh</w:t>
            </w:r>
          </w:p>
        </w:tc>
        <w:tc>
          <w:tcPr>
            <w:tcW w:type="dxa" w:w="408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Tổng VSV hiếu khí; Nấm men – nấm mốc; Coliforms; E. coli; S. aureus; Salmonella</w:t>
            </w:r>
          </w:p>
        </w:tc>
        <w:tc>
          <w:tcPr>
            <w:tcW w:type="dxa" w:w="226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QCVN 8-3:2012/BYT</w:t>
            </w:r>
          </w:p>
        </w:tc>
        <w:tc>
          <w:tcPr>
            <w:tcW w:type="dxa" w:w="192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6 tháng/lần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Hóa học</w:t>
            </w:r>
          </w:p>
        </w:tc>
        <w:tc>
          <w:tcPr>
            <w:tcW w:type="dxa" w:w="408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Aflatoxin (B1, tổng); Kim loại nặng (Pb, As, Cd, Hg)</w:t>
            </w:r>
          </w:p>
        </w:tc>
        <w:tc>
          <w:tcPr>
            <w:tcW w:type="dxa" w:w="226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QCVN 8-1 / 8-2:2011/BYT</w:t>
            </w:r>
          </w:p>
        </w:tc>
        <w:tc>
          <w:tcPr>
            <w:tcW w:type="dxa" w:w="192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6 tháng/lần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Chất lượng</w:t>
            </w:r>
          </w:p>
        </w:tc>
        <w:tc>
          <w:tcPr>
            <w:tcW w:type="dxa" w:w="408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Độ ẩm / hoạt độ nước (Aw)</w:t>
            </w:r>
          </w:p>
        </w:tc>
        <w:tc>
          <w:tcPr>
            <w:tcW w:type="dxa" w:w="226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Theo TCCS / TCVN 7240:2003</w:t>
            </w:r>
          </w:p>
        </w:tc>
        <w:tc>
          <w:tcPr>
            <w:tcW w:type="dxa" w:w="192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Theo lô + 6 tháng/lần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Phụ gia</w:t>
            </w:r>
          </w:p>
        </w:tc>
        <w:tc>
          <w:tcPr>
            <w:tcW w:type="dxa" w:w="408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Phẩm màu, chất bảo quản (khi nghi ngờ)</w:t>
            </w:r>
          </w:p>
        </w:tc>
        <w:tc>
          <w:tcPr>
            <w:tcW w:type="dxa" w:w="226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TT 24/2019/TT-BYT</w:t>
            </w:r>
          </w:p>
        </w:tc>
        <w:tc>
          <w:tcPr>
            <w:tcW w:type="dxa" w:w="192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Khi cần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Cảm quan / KL</w:t>
            </w:r>
          </w:p>
        </w:tc>
        <w:tc>
          <w:tcPr>
            <w:tcW w:type="dxa" w:w="408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Ngoại quan, mùi vị, khối lượng tịnh</w:t>
            </w:r>
          </w:p>
        </w:tc>
        <w:tc>
          <w:tcPr>
            <w:tcW w:type="dxa" w:w="226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TCCS / quy định ghi nhãn</w:t>
            </w:r>
          </w:p>
        </w:tc>
        <w:tc>
          <w:tcPr>
            <w:tcW w:type="dxa" w:w="192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Hàng ca (nội bộ)</w:t>
            </w:r>
          </w:p>
        </w:tc>
      </w:tr>
    </w:tbl>
    <w:p>
      <w:pPr>
        <w:spacing w:after="40"/>
      </w:pPr>
    </w:p>
    <w:p>
      <w:pPr>
        <w:spacing w:after="40" w:before="100" w:line="276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4.2 Kiểm nghiệm nguyên liệu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40"/>
        <w:gridCol w:w="3440"/>
        <w:gridCol w:w="3440"/>
      </w:tblGrid>
      <w:tr>
        <w:trPr>
          <w:tblHeader w:val="true"/>
        </w:trPr>
        <w:tc>
          <w:tcPr>
            <w:tcW w:type="dxa" w:w="2835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Nguyên liệu</w:t>
            </w:r>
          </w:p>
        </w:tc>
        <w:tc>
          <w:tcPr>
            <w:tcW w:type="dxa" w:w="3855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Chỉ tiêu trọng tâm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Tần suất</w:t>
            </w:r>
          </w:p>
        </w:tc>
      </w:tr>
      <w:tr>
        <w:tc>
          <w:tcPr>
            <w:tcW w:type="dxa" w:w="2835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Đỗ xanh, đậu đen, lạc</w:t>
            </w:r>
          </w:p>
        </w:tc>
        <w:tc>
          <w:tcPr>
            <w:tcW w:type="dxa" w:w="3855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Aflatoxin; cảm quan (mốc, hỏng)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Theo lô (COA) + kiểm nghiệm độc lập định kỳ</w:t>
            </w:r>
          </w:p>
        </w:tc>
      </w:tr>
      <w:tr>
        <w:tc>
          <w:tcPr>
            <w:tcW w:type="dxa" w:w="2835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Nước sản xuất</w:t>
            </w:r>
          </w:p>
        </w:tc>
        <w:tc>
          <w:tcPr>
            <w:tcW w:type="dxa" w:w="3855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Theo QCVN 01-1:2024/BYT (E. coli, Coliform, Clo dư…)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Hàng tháng (NCC) + nội kiểm định kỳ</w:t>
            </w:r>
          </w:p>
        </w:tc>
      </w:tr>
      <w:tr>
        <w:tc>
          <w:tcPr>
            <w:tcW w:type="dxa" w:w="2835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Đường, dầu thực vật, phụ gia, phẩm màu</w:t>
            </w:r>
          </w:p>
        </w:tc>
        <w:tc>
          <w:tcPr>
            <w:tcW w:type="dxa" w:w="3855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COA/CQ từng lô; phù hợp TCVN/TT 24/2019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Theo lô</w:t>
            </w:r>
          </w:p>
        </w:tc>
      </w:tr>
    </w:tbl>
    <w:p>
      <w:pPr>
        <w:spacing w:after="40"/>
      </w:pPr>
    </w:p>
    <w:p>
      <w:pPr>
        <w:spacing w:after="40" w:before="100" w:line="276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4.3 Giám sát môi trường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580"/>
      </w:tblGrid>
      <w:tr>
        <w:trPr>
          <w:tblHeader w:val="true"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Vị trí lấy mẫu</w:t>
            </w:r>
          </w:p>
        </w:tc>
        <w:tc>
          <w:tcPr>
            <w:tcW w:type="dxa" w:w="215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Chỉ tiêu</w:t>
            </w:r>
          </w:p>
        </w:tc>
        <w:tc>
          <w:tcPr>
            <w:tcW w:type="dxa" w:w="2381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Mức cảnh báo/hành động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Tần suất</w:t>
            </w:r>
          </w:p>
        </w:tc>
      </w:tr>
      <w:tr>
        <w:tc>
          <w:tcPr>
            <w:tcW w:type="dxa" w:w="3061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Bề mặt tiếp xúc sản phẩm (thiết bị, dụng cụ)</w:t>
            </w:r>
          </w:p>
        </w:tc>
        <w:tc>
          <w:tcPr>
            <w:tcW w:type="dxa" w:w="215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TPC, Nấm mốc, Coliform</w:t>
            </w:r>
          </w:p>
        </w:tc>
        <w:tc>
          <w:tcPr>
            <w:tcW w:type="dxa" w:w="2381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Theo ngưỡng nội bộ thiết lập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Định kỳ (vd 3–6 tháng/lần)</w:t>
            </w:r>
          </w:p>
        </w:tc>
      </w:tr>
      <w:tr>
        <w:tc>
          <w:tcPr>
            <w:tcW w:type="dxa" w:w="3061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Tay/găng công nhân</w:t>
            </w:r>
          </w:p>
        </w:tc>
        <w:tc>
          <w:tcPr>
            <w:tcW w:type="dxa" w:w="215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TPC, Coliform</w:t>
            </w:r>
          </w:p>
        </w:tc>
        <w:tc>
          <w:tcPr>
            <w:tcW w:type="dxa" w:w="2381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Đạt/không đạt theo ngưỡng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Định kỳ + xác suất</w:t>
            </w:r>
          </w:p>
        </w:tc>
      </w:tr>
      <w:tr>
        <w:tc>
          <w:tcPr>
            <w:tcW w:type="dxa" w:w="3061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Không khí khu đóng gói</w:t>
            </w:r>
          </w:p>
        </w:tc>
        <w:tc>
          <w:tcPr>
            <w:tcW w:type="dxa" w:w="215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Nấm mốc, TPC lắng</w:t>
            </w:r>
          </w:p>
        </w:tc>
        <w:tc>
          <w:tcPr>
            <w:tcW w:type="dxa" w:w="2381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Theo ngưỡng nội bộ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Định kỳ</w:t>
            </w:r>
          </w:p>
        </w:tc>
      </w:tr>
    </w:tbl>
    <w:p>
      <w:pPr>
        <w:spacing w:after="40"/>
      </w:pPr>
    </w:p>
    <w:p>
      <w:pPr>
        <w:spacing w:after="40" w:before="100" w:line="276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4.4 Lấy mẫu và xử lý kết quả không đạt</w:t>
      </w:r>
    </w:p>
    <w:p>
      <w:pPr>
        <w:spacing w:after="40" w:before="0" w:line="276" w:lineRule="auto"/>
        <w:ind w:left="340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Lấy mẫu đại diện, ghi nhãn (sản phẩm, lô, ngày), gửi phòng ISO/IEC 17025.</w:t>
      </w:r>
    </w:p>
    <w:p>
      <w:pPr>
        <w:spacing w:after="40" w:before="0" w:line="276" w:lineRule="auto"/>
        <w:ind w:left="340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Khi kết quả vượt giới hạn: cô lập lô liên quan, điều tra nguyên nhân, thực hiện hành động khắc phục (QT 01) và thu hồi nếu cần (QT 02).</w:t>
      </w:r>
    </w:p>
    <w:p>
      <w:pPr>
        <w:spacing w:after="40" w:before="0" w:line="276" w:lineRule="auto"/>
        <w:ind w:left="340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Tổng hợp kết quả phục vụ thẩm tra (QT 04) và xem xét của lãnh đạo.</w:t>
      </w:r>
    </w:p>
    <w:p>
      <w:pPr>
        <w:spacing w:after="60" w:before="160" w:line="276" w:lineRule="auto"/>
      </w:pPr>
      <w:r>
        <w:rPr>
          <w:rFonts w:ascii="Times New Roman" w:hAnsi="Times New Roman" w:cs="Times New Roman" w:eastAsia="Times New Roman"/>
          <w:b/>
          <w:i w:val="0"/>
          <w:color w:val="1F3864"/>
          <w:sz w:val="25"/>
        </w:rPr>
        <w:t>5. Lưu hồ sơ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rPr>
          <w:tblHeader w:val="true"/>
        </w:trPr>
        <w:tc>
          <w:tcPr>
            <w:tcW w:type="dxa" w:w="68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STT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Tên hồ sơ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Ký hiệu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Thời gian lưu</w:t>
            </w:r>
          </w:p>
        </w:tc>
        <w:tc>
          <w:tcPr>
            <w:tcW w:type="dxa" w:w="192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Nơi lưu</w:t>
            </w:r>
          </w:p>
        </w:tc>
      </w:tr>
      <w:tr>
        <w:tc>
          <w:tcPr>
            <w:tcW w:type="dxa" w:w="68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Kế hoạch lấy mẫu – kiểm nghiệm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KH.KN.01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Lâu dài</w:t>
            </w:r>
          </w:p>
        </w:tc>
        <w:tc>
          <w:tcPr>
            <w:tcW w:type="dxa" w:w="192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Ban ISO</w:t>
            </w:r>
          </w:p>
        </w:tc>
      </w:tr>
      <w:tr>
        <w:tc>
          <w:tcPr>
            <w:tcW w:type="dxa" w:w="68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Phiếu/kết quả kiểm nghiệm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–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 năm</w:t>
            </w:r>
          </w:p>
        </w:tc>
        <w:tc>
          <w:tcPr>
            <w:tcW w:type="dxa" w:w="192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Ban ISO</w:t>
            </w:r>
          </w:p>
        </w:tc>
      </w:tr>
      <w:tr>
        <w:tc>
          <w:tcPr>
            <w:tcW w:type="dxa" w:w="68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Hồ sơ giám sát môi trường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–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 năm</w:t>
            </w:r>
          </w:p>
        </w:tc>
        <w:tc>
          <w:tcPr>
            <w:tcW w:type="dxa" w:w="192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Ban ISO/Phân xưởng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794" w:right="680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/>
        <w:color w:val="808080"/>
        <w:sz w:val="16"/>
      </w:rPr>
      <w:t>KH.KN.01 — Lần ban hành 01 — Ngày 13/06/2026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Style w:val="TableGrid"/>
      <w:tblW w:type="auto" w:w="0"/>
      <w:tblLook w:firstColumn="1" w:firstRow="1" w:lastColumn="0" w:lastRow="0" w:noHBand="0" w:noVBand="1" w:val="04A0"/>
    </w:tblPr>
    <w:tblGrid>
      <w:gridCol w:w="3439"/>
      <w:gridCol w:w="3439"/>
      <w:gridCol w:w="3439"/>
    </w:tblGrid>
    <w:tr>
      <w:tc>
        <w:tcPr>
          <w:tcW w:type="dxa" w:w="6917"/>
          <w:vMerge w:val="restart"/>
          <w:vAlign w:val="center"/>
          <w:tcMar>
            <w:top w:w="40" w:type="dxa"/>
            <w:bottom w:w="40" w:type="dxa"/>
            <w:start w:w="80" w:type="dxa"/>
            <w:end w:w="80" w:type="dxa"/>
          </w:tcMar>
        </w:tcPr>
        <w:p>
          <w:pPr>
            <w:spacing w:after="0" w:before="0" w:line="264" w:lineRule="auto"/>
            <w:jc w:val="center"/>
          </w:pPr>
          <w:r/>
          <w:r>
            <w:rPr>
              <w:rFonts w:ascii="Times New Roman" w:hAnsi="Times New Roman" w:cs="Times New Roman" w:eastAsia="Times New Roman"/>
              <w:b/>
              <w:i w:val="0"/>
              <w:sz w:val="22"/>
            </w:rPr>
            <w:t>KẾ HOẠCH LẤY MẪU, KIỂM NGHIỆM SẢN PHẨM VÀ GIÁM SÁT MÔI TRƯỜNG</w:t>
          </w:r>
        </w:p>
      </w:tc>
      <w:tc>
        <w:tcPr>
          <w:tcW w:type="dxa" w:w="1701"/>
          <w:vAlign w:val="center"/>
          <w:tcMar>
            <w:top w:w="40" w:type="dxa"/>
            <w:bottom w:w="40" w:type="dxa"/>
            <w:start w:w="80" w:type="dxa"/>
            <w:end w:w="80" w:type="dxa"/>
          </w:tcMar>
        </w:tcPr>
        <w:p>
          <w:pPr>
            <w:spacing w:after="0" w:before="0" w:line="264" w:lineRule="auto"/>
          </w:pPr>
          <w:r/>
          <w:r>
            <w:rPr>
              <w:rFonts w:ascii="Times New Roman" w:hAnsi="Times New Roman" w:cs="Times New Roman" w:eastAsia="Times New Roman"/>
              <w:b/>
              <w:i w:val="0"/>
              <w:sz w:val="20"/>
            </w:rPr>
            <w:t>Mã số</w:t>
          </w:r>
        </w:p>
      </w:tc>
      <w:tc>
        <w:tcPr>
          <w:tcW w:type="dxa" w:w="1701"/>
          <w:vAlign w:val="center"/>
          <w:tcMar>
            <w:top w:w="40" w:type="dxa"/>
            <w:bottom w:w="40" w:type="dxa"/>
            <w:start w:w="80" w:type="dxa"/>
            <w:end w:w="80" w:type="dxa"/>
          </w:tcMar>
        </w:tcPr>
        <w:p>
          <w:pPr>
            <w:spacing w:after="0" w:before="0" w:line="264" w:lineRule="auto"/>
            <w:jc w:val="center"/>
          </w:pPr>
          <w:r/>
          <w:r>
            <w:rPr>
              <w:rFonts w:ascii="Times New Roman" w:hAnsi="Times New Roman" w:cs="Times New Roman" w:eastAsia="Times New Roman"/>
              <w:b w:val="0"/>
              <w:i w:val="0"/>
              <w:sz w:val="20"/>
            </w:rPr>
            <w:t>KH.KN.01</w:t>
          </w:r>
        </w:p>
      </w:tc>
    </w:tr>
    <w:tr>
      <w:tc>
        <w:tcPr>
          <w:tcW w:type="dxa" w:w="6917"/>
          <w:vMerge/>
        </w:tcPr>
        <w:p/>
      </w:tc>
      <w:tc>
        <w:tcPr>
          <w:tcW w:type="dxa" w:w="1701"/>
          <w:vAlign w:val="center"/>
          <w:tcMar>
            <w:top w:w="40" w:type="dxa"/>
            <w:bottom w:w="40" w:type="dxa"/>
            <w:start w:w="80" w:type="dxa"/>
            <w:end w:w="80" w:type="dxa"/>
          </w:tcMar>
        </w:tcPr>
        <w:p>
          <w:pPr>
            <w:spacing w:after="0" w:before="0" w:line="264" w:lineRule="auto"/>
          </w:pPr>
          <w:r/>
          <w:r>
            <w:rPr>
              <w:rFonts w:ascii="Times New Roman" w:hAnsi="Times New Roman" w:cs="Times New Roman" w:eastAsia="Times New Roman"/>
              <w:b/>
              <w:i w:val="0"/>
              <w:sz w:val="20"/>
            </w:rPr>
            <w:t>Ngày ban hành</w:t>
          </w:r>
        </w:p>
      </w:tc>
      <w:tc>
        <w:tcPr>
          <w:tcW w:type="dxa" w:w="1701"/>
          <w:vAlign w:val="center"/>
          <w:tcMar>
            <w:top w:w="40" w:type="dxa"/>
            <w:bottom w:w="40" w:type="dxa"/>
            <w:start w:w="80" w:type="dxa"/>
            <w:end w:w="80" w:type="dxa"/>
          </w:tcMar>
        </w:tcPr>
        <w:p>
          <w:pPr>
            <w:spacing w:after="0" w:before="0" w:line="264" w:lineRule="auto"/>
            <w:jc w:val="center"/>
          </w:pPr>
          <w:r/>
          <w:r>
            <w:rPr>
              <w:rFonts w:ascii="Times New Roman" w:hAnsi="Times New Roman" w:cs="Times New Roman" w:eastAsia="Times New Roman"/>
              <w:b w:val="0"/>
              <w:i w:val="0"/>
              <w:sz w:val="20"/>
            </w:rPr>
            <w:t>13/06/2026</w:t>
          </w:r>
        </w:p>
      </w:tc>
    </w:tr>
    <w:tr>
      <w:tc>
        <w:tcPr>
          <w:tcW w:type="dxa" w:w="6917"/>
          <w:vMerge/>
        </w:tcPr>
        <w:p/>
      </w:tc>
      <w:tc>
        <w:tcPr>
          <w:tcW w:type="dxa" w:w="1701"/>
          <w:vAlign w:val="center"/>
          <w:tcMar>
            <w:top w:w="40" w:type="dxa"/>
            <w:bottom w:w="40" w:type="dxa"/>
            <w:start w:w="80" w:type="dxa"/>
            <w:end w:w="80" w:type="dxa"/>
          </w:tcMar>
        </w:tcPr>
        <w:p>
          <w:pPr>
            <w:spacing w:after="0" w:before="0" w:line="264" w:lineRule="auto"/>
          </w:pPr>
          <w:r/>
          <w:r>
            <w:rPr>
              <w:rFonts w:ascii="Times New Roman" w:hAnsi="Times New Roman" w:cs="Times New Roman" w:eastAsia="Times New Roman"/>
              <w:b/>
              <w:i w:val="0"/>
              <w:sz w:val="20"/>
            </w:rPr>
            <w:t>Lần ban hành</w:t>
          </w:r>
        </w:p>
      </w:tc>
      <w:tc>
        <w:tcPr>
          <w:tcW w:type="dxa" w:w="1701"/>
          <w:vAlign w:val="center"/>
          <w:tcMar>
            <w:top w:w="40" w:type="dxa"/>
            <w:bottom w:w="40" w:type="dxa"/>
            <w:start w:w="80" w:type="dxa"/>
            <w:end w:w="80" w:type="dxa"/>
          </w:tcMar>
        </w:tcPr>
        <w:p>
          <w:pPr>
            <w:spacing w:after="0" w:before="0" w:line="264" w:lineRule="auto"/>
            <w:jc w:val="center"/>
          </w:pPr>
          <w:r/>
          <w:r>
            <w:rPr>
              <w:rFonts w:ascii="Times New Roman" w:hAnsi="Times New Roman" w:cs="Times New Roman" w:eastAsia="Times New Roman"/>
              <w:b w:val="0"/>
              <w:i w:val="0"/>
              <w:sz w:val="20"/>
            </w:rPr>
            <w:t>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