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cs="Times New Roman" w:eastAsia="Times New Roman"/>
          <w:b/>
          <w:i w:val="0"/>
          <w:sz w:val="26"/>
        </w:rPr>
        <w:t>CÔNG TY CỔ PHẦN HOÀNG GIANG</w:t>
      </w:r>
    </w:p>
    <w:p>
      <w:pPr>
        <w:spacing w:after="40" w:before="0" w:line="276" w:lineRule="auto"/>
        <w:jc w:val="center"/>
      </w:pPr>
      <w:r>
        <w:rPr>
          <w:rFonts w:ascii="Times New Roman" w:hAnsi="Times New Roman" w:cs="Times New Roman" w:eastAsia="Times New Roman"/>
          <w:b/>
          <w:i w:val="0"/>
          <w:sz w:val="24"/>
        </w:rPr>
        <w:t>KẾ HOẠCH</w:t>
      </w:r>
    </w:p>
    <w:p>
      <w:pPr>
        <w:spacing w:after="120" w:before="0" w:line="276" w:lineRule="auto"/>
        <w:jc w:val="center"/>
      </w:pPr>
      <w:r>
        <w:rPr>
          <w:rFonts w:ascii="Times New Roman" w:hAnsi="Times New Roman" w:cs="Times New Roman" w:eastAsia="Times New Roman"/>
          <w:b/>
          <w:i w:val="0"/>
          <w:color w:val="1F3864"/>
          <w:sz w:val="30"/>
        </w:rPr>
        <w:t>CHƯƠNG TRÌNH TIÊN QUYẾT VẬN HÀNH (OPRP)</w:t>
        <w:br/>
        <w:t>VÀ XÁC ĐỊNH CCP/OPRP</w:t>
      </w:r>
    </w:p>
    <w:p>
      <w:pPr>
        <w:spacing w:after="160" w:before="0" w:line="276" w:lineRule="auto"/>
        <w:jc w:val="center"/>
      </w:pPr>
      <w:r>
        <w:rPr>
          <w:rFonts w:ascii="Times New Roman" w:hAnsi="Times New Roman" w:cs="Times New Roman" w:eastAsia="Times New Roman"/>
          <w:b w:val="0"/>
          <w:i/>
          <w:sz w:val="22"/>
        </w:rPr>
        <w:t>Mã số: KH.OPRP.01        Lần ban hành: 01        Ngày ban hành: 13/06/2026</w:t>
      </w:r>
    </w:p>
    <w:tbl>
      <w:tblPr>
        <w:tblStyle w:val="TableGrid"/>
        <w:tblW w:type="auto" w:w="0"/>
        <w:jc w:val="center"/>
        <w:tblLook w:firstColumn="1" w:firstRow="1" w:lastColumn="0" w:lastRow="0" w:noHBand="0" w:noVBand="1" w:val="04A0"/>
      </w:tblPr>
      <w:tblGrid>
        <w:gridCol w:w="5159"/>
        <w:gridCol w:w="5159"/>
      </w:tblGrid>
      <w:tr>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SOẠN THẢO</w:t>
            </w:r>
          </w:p>
        </w:tc>
        <w:tc>
          <w:tcPr>
            <w:tcW w:type="dxa" w:w="5102"/>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4"/>
              </w:rPr>
              <w:t>NGƯỜI PHÊ DUYỆT</w:t>
            </w:r>
          </w:p>
        </w:tc>
      </w:tr>
      <w:tr>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Nguyễn Huy Chiến</w:t>
            </w:r>
          </w:p>
        </w:tc>
        <w:tc>
          <w:tcPr>
            <w:tcW w:type="dxa" w:w="5102"/>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r>
          </w:p>
          <w:p>
            <w:pPr>
              <w:spacing w:after="0" w:before="0" w:line="264" w:lineRule="auto"/>
              <w:jc w:val="center"/>
            </w:pPr>
            <w:r>
              <w:rPr>
                <w:rFonts w:ascii="Times New Roman" w:hAnsi="Times New Roman" w:cs="Times New Roman" w:eastAsia="Times New Roman"/>
                <w:b w:val="0"/>
                <w:i w:val="0"/>
                <w:sz w:val="24"/>
              </w:rPr>
              <w:t>Đào Văn Tiến</w:t>
            </w:r>
          </w:p>
        </w:tc>
      </w:tr>
    </w:tbl>
    <w:p>
      <w:pPr>
        <w:spacing w:after="80" w:before="0" w:line="276" w:lineRule="auto"/>
      </w:pPr>
    </w:p>
    <w:p>
      <w:pPr>
        <w:spacing w:after="40" w:before="80" w:line="276" w:lineRule="auto"/>
      </w:pPr>
      <w:r>
        <w:rPr>
          <w:rFonts w:ascii="Times New Roman" w:hAnsi="Times New Roman" w:cs="Times New Roman" w:eastAsia="Times New Roman"/>
          <w:b/>
          <w:i w:val="0"/>
          <w:sz w:val="24"/>
        </w:rPr>
        <w:t>THEO DÕI SỬA ĐỔI</w:t>
      </w:r>
    </w:p>
    <w:tbl>
      <w:tblPr>
        <w:tblStyle w:val="TableGrid"/>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68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Lần</w:t>
            </w:r>
          </w:p>
        </w:tc>
        <w:tc>
          <w:tcPr>
            <w:tcW w:type="dxa" w:w="124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Ngày</w:t>
            </w:r>
          </w:p>
        </w:tc>
        <w:tc>
          <w:tcPr>
            <w:tcW w:type="dxa" w:w="5669"/>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Nội dung sửa đổi</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Phê duyệt</w:t>
            </w:r>
          </w:p>
        </w:tc>
        <w:tc>
          <w:tcPr>
            <w:tcW w:type="dxa" w:w="130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0"/>
              </w:rPr>
              <w:t>Soạn thảo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c>
          <w:tcPr>
            <w:tcW w:type="dxa" w:w="124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c>
          <w:tcPr>
            <w:tcW w:type="dxa" w:w="5669"/>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0"/>
              </w:rPr>
              <w:t>Ban hành lần đầu</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Đào Văn Tiến</w:t>
            </w:r>
          </w:p>
        </w:tc>
        <w:tc>
          <w:tcPr>
            <w:tcW w:type="dxa" w:w="1304"/>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Nguyễn Huy Chiến</w:t>
            </w:r>
          </w:p>
        </w:tc>
      </w:tr>
    </w:tbl>
    <w:p>
      <w:pPr>
        <w:spacing w:after="40"/>
      </w:pPr>
    </w:p>
    <w:p>
      <w:pPr>
        <w:spacing w:after="40" w:before="0" w:line="276" w:lineRule="auto"/>
      </w:pPr>
    </w:p>
    <w:p>
      <w:pPr>
        <w:spacing w:after="60" w:before="160" w:line="276" w:lineRule="auto"/>
      </w:pPr>
      <w:r>
        <w:rPr>
          <w:rFonts w:ascii="Times New Roman" w:hAnsi="Times New Roman" w:cs="Times New Roman" w:eastAsia="Times New Roman"/>
          <w:b/>
          <w:i w:val="0"/>
          <w:color w:val="1F3864"/>
          <w:sz w:val="25"/>
        </w:rPr>
        <w:t>1. Mục đích</w:t>
      </w:r>
    </w:p>
    <w:p>
      <w:pPr>
        <w:spacing w:after="80" w:before="0" w:line="276" w:lineRule="auto"/>
      </w:pPr>
      <w:r>
        <w:rPr>
          <w:rFonts w:ascii="Times New Roman" w:hAnsi="Times New Roman" w:cs="Times New Roman" w:eastAsia="Times New Roman"/>
          <w:b w:val="0"/>
          <w:i w:val="0"/>
          <w:sz w:val="24"/>
        </w:rPr>
        <w:t>Quy định phương pháp đánh giá mức đáng kể của mối nguy, phân loại biện pháp kiểm soát (PRP/OPRP/CCP) và thiết lập kế hoạch kiểm soát các mối nguy đáng kể trong quá trình sản xuất bánh đậu xanh, bột đậu.</w:t>
      </w:r>
    </w:p>
    <w:p>
      <w:pPr>
        <w:spacing w:after="60" w:before="160" w:line="276" w:lineRule="auto"/>
      </w:pPr>
      <w:r>
        <w:rPr>
          <w:rFonts w:ascii="Times New Roman" w:hAnsi="Times New Roman" w:cs="Times New Roman" w:eastAsia="Times New Roman"/>
          <w:b/>
          <w:i w:val="0"/>
          <w:color w:val="1F3864"/>
          <w:sz w:val="25"/>
        </w:rPr>
        <w:t>2. Phạm vi áp dụng</w:t>
      </w:r>
    </w:p>
    <w:p>
      <w:pPr>
        <w:spacing w:after="80" w:before="0" w:line="276" w:lineRule="auto"/>
      </w:pPr>
      <w:r>
        <w:rPr>
          <w:rFonts w:ascii="Times New Roman" w:hAnsi="Times New Roman" w:cs="Times New Roman" w:eastAsia="Times New Roman"/>
          <w:b w:val="0"/>
          <w:i w:val="0"/>
          <w:sz w:val="24"/>
        </w:rPr>
        <w:t>Áp dụng cho toàn bộ quá trình sản xuất, từ tiếp nhận nguyên liệu đến thành phẩm.</w:t>
      </w:r>
    </w:p>
    <w:p>
      <w:pPr>
        <w:spacing w:after="60" w:before="160" w:line="276" w:lineRule="auto"/>
      </w:pPr>
      <w:r>
        <w:rPr>
          <w:rFonts w:ascii="Times New Roman" w:hAnsi="Times New Roman" w:cs="Times New Roman" w:eastAsia="Times New Roman"/>
          <w:b/>
          <w:i w:val="0"/>
          <w:color w:val="1F3864"/>
          <w:sz w:val="25"/>
        </w:rPr>
        <w:t>3. Tài liệu tham khảo</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ISO 22000:2018; Codex CXC 1-1969 (HACCP)</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QCVN 8-1:2011/BYT – Giới hạn ô nhiễm độc tố vi nấm trong thực phẩm</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QCVN 8-2:2011/BYT – Giới hạn ô nhiễm kim loại nặng</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QCVN 8-3:2012/BYT – Giới hạn ô nhiễm vi sinh vật</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Kế hoạch HACCP; QT 08 – Quy trình quản lý sản xuất</w:t>
      </w:r>
    </w:p>
    <w:p>
      <w:pPr>
        <w:spacing w:after="60" w:before="160" w:line="276" w:lineRule="auto"/>
      </w:pPr>
      <w:r>
        <w:rPr>
          <w:rFonts w:ascii="Times New Roman" w:hAnsi="Times New Roman" w:cs="Times New Roman" w:eastAsia="Times New Roman"/>
          <w:b/>
          <w:i w:val="0"/>
          <w:color w:val="1F3864"/>
          <w:sz w:val="25"/>
        </w:rPr>
        <w:t>4. Định nghĩa, viết tắt</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PRP: Chương trình tiên quyết (điều kiện vệ sinh nền tảng).</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OPRP: Chương trình tiên quyết vận hành – biện pháp kiểm soát mối nguy đáng kể, có giám sát và tiêu chí hành động.</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CCP: Điểm kiểm soát tới hạn – có giới hạn tới hạn đo lường được.</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Mối nguy đáng kể: mối nguy có mức rủi ro cần kiểm soát bằng OPRP hoặc CCP.</w:t>
      </w:r>
    </w:p>
    <w:p>
      <w:pPr>
        <w:spacing w:after="40" w:before="0" w:line="276" w:lineRule="auto"/>
        <w:ind w:left="340"/>
      </w:pPr>
      <w:r>
        <w:rPr>
          <w:rFonts w:ascii="Times New Roman" w:hAnsi="Times New Roman" w:cs="Times New Roman" w:eastAsia="Times New Roman"/>
          <w:b/>
          <w:i w:val="0"/>
          <w:sz w:val="24"/>
        </w:rPr>
        <w:t xml:space="preserve">•  </w:t>
      </w:r>
      <w:r>
        <w:rPr>
          <w:rFonts w:ascii="Times New Roman" w:hAnsi="Times New Roman" w:cs="Times New Roman" w:eastAsia="Times New Roman"/>
          <w:b w:val="0"/>
          <w:i w:val="0"/>
          <w:sz w:val="24"/>
        </w:rPr>
        <w:t>Giới hạn hành động: ngưỡng để quyết định OPRP còn trong tầm kiểm soát hay không.</w:t>
      </w:r>
    </w:p>
    <w:p>
      <w:pPr>
        <w:spacing w:after="60" w:before="160" w:line="276" w:lineRule="auto"/>
      </w:pPr>
      <w:r>
        <w:rPr>
          <w:rFonts w:ascii="Times New Roman" w:hAnsi="Times New Roman" w:cs="Times New Roman" w:eastAsia="Times New Roman"/>
          <w:b/>
          <w:i w:val="0"/>
          <w:color w:val="1F3864"/>
          <w:sz w:val="25"/>
        </w:rPr>
        <w:t>5. Nội dung</w:t>
      </w:r>
    </w:p>
    <w:p>
      <w:pPr>
        <w:spacing w:after="40" w:before="100" w:line="276" w:lineRule="auto"/>
      </w:pPr>
      <w:r>
        <w:rPr>
          <w:rFonts w:ascii="Times New Roman" w:hAnsi="Times New Roman" w:cs="Times New Roman" w:eastAsia="Times New Roman"/>
          <w:b/>
          <w:i w:val="0"/>
          <w:sz w:val="24"/>
        </w:rPr>
        <w:t>5.1 Phương pháp đánh giá và phân loại biện pháp kiểm soát</w:t>
      </w:r>
    </w:p>
    <w:p>
      <w:pPr>
        <w:spacing w:after="80" w:before="0" w:line="276" w:lineRule="auto"/>
      </w:pPr>
      <w:r>
        <w:rPr>
          <w:rFonts w:ascii="Times New Roman" w:hAnsi="Times New Roman" w:cs="Times New Roman" w:eastAsia="Times New Roman"/>
          <w:b w:val="0"/>
          <w:i w:val="0"/>
          <w:sz w:val="24"/>
        </w:rPr>
        <w:t>Mức đáng kể = Khả năng xảy ra × Mức nghiêm trọng. Mối nguy đáng kể được phân loại theo logic: nếu có giới hạn tới hạn đo lường được và là bước quyết định loại trừ/giảm mối nguy → CCP; nếu kiểm soát bằng biện pháp vận hành có giám sát nhưng không có giới hạn tới hạn tuyệt đối → OPRP; còn lại do PRP quản lý.</w:t>
      </w:r>
    </w:p>
    <w:p>
      <w:pPr>
        <w:spacing w:after="40" w:before="100" w:line="276" w:lineRule="auto"/>
      </w:pPr>
      <w:r>
        <w:rPr>
          <w:rFonts w:ascii="Times New Roman" w:hAnsi="Times New Roman" w:cs="Times New Roman" w:eastAsia="Times New Roman"/>
          <w:b/>
          <w:i w:val="0"/>
          <w:sz w:val="24"/>
        </w:rPr>
        <w:t>5.2 Bảng xác định lại mối nguy đáng kể và phân loại</w:t>
      </w:r>
    </w:p>
    <w:tbl>
      <w:tblPr>
        <w:tblStyle w:val="TableGrid"/>
        <w:tblW w:type="auto" w:w="0"/>
        <w:jc w:val="center"/>
        <w:tblLayout w:type="fixed"/>
        <w:tblLook w:firstColumn="1" w:firstRow="1" w:lastColumn="0" w:lastRow="0" w:noHBand="0" w:noVBand="1" w:val="04A0"/>
      </w:tblPr>
      <w:tblGrid>
        <w:gridCol w:w="2580"/>
        <w:gridCol w:w="2580"/>
        <w:gridCol w:w="2580"/>
        <w:gridCol w:w="2580"/>
      </w:tblGrid>
      <w:tr>
        <w:trPr>
          <w:tblHeader w:val="true"/>
        </w:trPr>
        <w:tc>
          <w:tcPr>
            <w:tcW w:type="dxa" w:w="249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Công đoạn</w:t>
            </w:r>
          </w:p>
        </w:tc>
        <w:tc>
          <w:tcPr>
            <w:tcW w:type="dxa" w:w="2948"/>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Mối nguy đáng kể</w:t>
            </w:r>
          </w:p>
        </w:tc>
        <w:tc>
          <w:tcPr>
            <w:tcW w:type="dxa" w:w="2608"/>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Đánh giá</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Phân loại</w:t>
            </w:r>
          </w:p>
        </w:tc>
      </w:tr>
      <w:tr>
        <w:tc>
          <w:tcPr>
            <w:tcW w:type="dxa" w:w="249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Tiếp nhận đỗ xanh, đậu đen, lạc</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Hóa học – Aflatoxin (độc tố vi nấm)</w:t>
            </w:r>
          </w:p>
        </w:tc>
        <w:tc>
          <w:tcPr>
            <w:tcW w:type="dxa" w:w="260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Đáng kể – có giới hạn pháp lý</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OPRP-01</w:t>
            </w:r>
          </w:p>
        </w:tc>
      </w:tr>
      <w:tr>
        <w:tc>
          <w:tcPr>
            <w:tcW w:type="dxa" w:w="249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Rang / Luộc đỗ</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Sinh học – VSV gây bệnh, mốc</w:t>
            </w:r>
          </w:p>
        </w:tc>
        <w:tc>
          <w:tcPr>
            <w:tcW w:type="dxa" w:w="260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Đáng kể – bước giảm VSV</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OPRP-02</w:t>
            </w:r>
          </w:p>
        </w:tc>
      </w:tr>
      <w:tr>
        <w:tc>
          <w:tcPr>
            <w:tcW w:type="dxa" w:w="249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Sàng, tách vỏ, tạo viên</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Vật lý – sạn, cát, kim loại</w:t>
            </w:r>
          </w:p>
        </w:tc>
        <w:tc>
          <w:tcPr>
            <w:tcW w:type="dxa" w:w="260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Đáng kể – do rang với cát</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OPRP-03</w:t>
            </w:r>
          </w:p>
        </w:tc>
      </w:tr>
      <w:tr>
        <w:tc>
          <w:tcPr>
            <w:tcW w:type="dxa" w:w="249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Bao gói (đóng nilon)</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Sinh học – tái nhiễm/hút ẩm gây mốc</w:t>
            </w:r>
          </w:p>
        </w:tc>
        <w:tc>
          <w:tcPr>
            <w:tcW w:type="dxa" w:w="260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Đáng kể – ảnh hưởng hạn dùng</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OPRP-04</w:t>
            </w:r>
          </w:p>
        </w:tc>
      </w:tr>
      <w:tr>
        <w:tc>
          <w:tcPr>
            <w:tcW w:type="dxa" w:w="249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Vệ sinh, nhiễm chéo, động vật gây hại</w:t>
            </w:r>
          </w:p>
        </w:tc>
        <w:tc>
          <w:tcPr>
            <w:tcW w:type="dxa" w:w="294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Sinh học/Vật lý</w:t>
            </w:r>
          </w:p>
        </w:tc>
        <w:tc>
          <w:tcPr>
            <w:tcW w:type="dxa" w:w="260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Kiểm soát bằng điều kiện vệ sinh</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PRP/SSOP</w:t>
            </w:r>
          </w:p>
        </w:tc>
      </w:tr>
    </w:tbl>
    <w:p>
      <w:pPr>
        <w:spacing w:after="40"/>
      </w:pPr>
    </w:p>
    <w:p>
      <w:pPr>
        <w:spacing w:after="40" w:before="100" w:line="276" w:lineRule="auto"/>
      </w:pPr>
      <w:r>
        <w:rPr>
          <w:rFonts w:ascii="Times New Roman" w:hAnsi="Times New Roman" w:cs="Times New Roman" w:eastAsia="Times New Roman"/>
          <w:b/>
          <w:i w:val="0"/>
          <w:sz w:val="24"/>
        </w:rPr>
        <w:t>5.3 Kế hoạch OPRP</w:t>
      </w:r>
    </w:p>
    <w:tbl>
      <w:tblPr>
        <w:tblStyle w:val="TableGrid"/>
        <w:tblW w:type="auto" w:w="0"/>
        <w:jc w:val="center"/>
        <w:tblLayout w:type="fixed"/>
        <w:tblLook w:firstColumn="1" w:firstRow="1" w:lastColumn="0" w:lastRow="0" w:noHBand="0" w:noVBand="1" w:val="04A0"/>
      </w:tblPr>
      <w:tblGrid>
        <w:gridCol w:w="1474"/>
        <w:gridCol w:w="1474"/>
        <w:gridCol w:w="1474"/>
        <w:gridCol w:w="1474"/>
        <w:gridCol w:w="1474"/>
        <w:gridCol w:w="1474"/>
        <w:gridCol w:w="1474"/>
      </w:tblGrid>
      <w:tr>
        <w:trPr>
          <w:tblHeader w:val="true"/>
        </w:trPr>
        <w:tc>
          <w:tcPr>
            <w:tcW w:type="dxa" w:w="1701"/>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Mã / Công đoạn</w:t>
            </w:r>
          </w:p>
        </w:tc>
        <w:tc>
          <w:tcPr>
            <w:tcW w:type="dxa" w:w="113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Mối nguy</w:t>
            </w:r>
          </w:p>
        </w:tc>
        <w:tc>
          <w:tcPr>
            <w:tcW w:type="dxa" w:w="181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Biện pháp kiểm soát</w:t>
            </w:r>
          </w:p>
        </w:tc>
        <w:tc>
          <w:tcPr>
            <w:tcW w:type="dxa" w:w="1814"/>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Tiêu chí / Giới hạn hành động</w:t>
            </w:r>
          </w:p>
        </w:tc>
        <w:tc>
          <w:tcPr>
            <w:tcW w:type="dxa" w:w="1928"/>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Giám sát (gì–cách–tần suất–ai)</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Hành động khắc phục</w:t>
            </w:r>
          </w:p>
        </w:tc>
        <w:tc>
          <w:tcPr>
            <w:tcW w:type="dxa" w:w="102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Hồ sơ</w:t>
            </w:r>
          </w:p>
        </w:tc>
      </w:tr>
      <w:tr>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OPRP-01 Tiếp nhận NL (đỗ, đậu đen, lạc)</w:t>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Aflatoxin</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Đánh giá &amp; phê duyệt NCC; yêu cầu COA aflatoxin; phân loại loại bỏ hạt mốc, hỏng, biến màu</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Aflatoxin ≤ giới hạn QCVN 8-1:2011/BYT; không nhận lô thiếu COA/nghi mốc</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Kiểm tra COA + cảm quan từng lô; kiểm nghiệm aflatoxin định kỳ — KCS/Mua hàng</w:t>
            </w:r>
          </w:p>
        </w:tc>
        <w:tc>
          <w:tcPr>
            <w:tcW w:type="dxa" w:w="1587"/>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Từ chối/trả lô; cô lập; đánh giá lại NCC</w:t>
            </w:r>
          </w:p>
        </w:tc>
        <w:tc>
          <w:tcPr>
            <w:tcW w:type="dxa" w:w="1020"/>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BM.07.03; COA</w:t>
            </w:r>
          </w:p>
        </w:tc>
      </w:tr>
      <w:tr>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OPRP-02 Rang / Luộc</w:t>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VSV gây bệnh, mốc</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Xử lý nhiệt đủ để giảm VSV</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Rang 255–270°C theo QT08; luộc đạt sôi và độ chín quy định</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Theo dõi nhiệt độ/thời gian mỗi mẻ (nhiệt kế đã hiệu chuẩn) — Công nhân/QLSX</w:t>
            </w:r>
          </w:p>
        </w:tc>
        <w:tc>
          <w:tcPr>
            <w:tcW w:type="dxa" w:w="1587"/>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Rang/luộc lại hoặc loại mẻ không đạt</w:t>
            </w:r>
          </w:p>
        </w:tc>
        <w:tc>
          <w:tcPr>
            <w:tcW w:type="dxa" w:w="1020"/>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Phiếu theo dõi SX</w:t>
            </w:r>
          </w:p>
        </w:tc>
      </w:tr>
      <w:tr>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OPRP-03 Sàng – Tách vỏ – Tạo viên</w:t>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Sạn, cát, kim loại</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Sàng đúng cỡ lưới; nhặt thủ công; nam châm/đầu dò kim loại (nếu trang bị)</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Lưới sàng nguyên vẹn đúng cỡ; không phát hiện dị vật; đầu dò không báo</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Kiểm tra lưới/đầu dò đầu &amp; cuối ca, khi đổi lô — KCS</w:t>
            </w:r>
          </w:p>
        </w:tc>
        <w:tc>
          <w:tcPr>
            <w:tcW w:type="dxa" w:w="1587"/>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Dừng; cô lập từ lần kiểm tra đạt gần nhất; kiểm tra lại</w:t>
            </w:r>
          </w:p>
        </w:tc>
        <w:tc>
          <w:tcPr>
            <w:tcW w:type="dxa" w:w="1020"/>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BM.10.01</w:t>
            </w:r>
          </w:p>
        </w:tc>
      </w:tr>
      <w:tr>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OPRP-04 Bao gói (đóng nilon)</w:t>
            </w:r>
          </w:p>
        </w:tc>
        <w:tc>
          <w:tcPr>
            <w:tcW w:type="dxa" w:w="113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Tái nhiễm VSV / hút ẩm gây mốc</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Kiểm soát độ kín mối hàn nilon, môi trường khu đóng gói</w:t>
            </w:r>
          </w:p>
        </w:tc>
        <w:tc>
          <w:tcPr>
            <w:tcW w:type="dxa" w:w="1814"/>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Mối hàn kín, không rách</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Kiểm tra độ kín mối hàn ≥2 lần/ca — Công nhân/QLSX</w:t>
            </w:r>
          </w:p>
        </w:tc>
        <w:tc>
          <w:tcPr>
            <w:tcW w:type="dxa" w:w="1587"/>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Hàn lại/loại; cô lập từ lần đạt gần nhất</w:t>
            </w:r>
          </w:p>
        </w:tc>
        <w:tc>
          <w:tcPr>
            <w:tcW w:type="dxa" w:w="1020"/>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Sổ KT thành phẩm</w:t>
            </w:r>
          </w:p>
        </w:tc>
      </w:tr>
    </w:tbl>
    <w:p>
      <w:pPr>
        <w:spacing w:after="40"/>
      </w:pPr>
    </w:p>
    <w:p>
      <w:pPr>
        <w:spacing w:after="40" w:before="100" w:line="276" w:lineRule="auto"/>
      </w:pPr>
      <w:r>
        <w:rPr>
          <w:rFonts w:ascii="Times New Roman" w:hAnsi="Times New Roman" w:cs="Times New Roman" w:eastAsia="Times New Roman"/>
          <w:b/>
          <w:i w:val="0"/>
          <w:sz w:val="24"/>
        </w:rPr>
        <w:t>5.4 Kết luận về CCP</w:t>
      </w:r>
    </w:p>
    <w:p>
      <w:pPr>
        <w:spacing w:after="80" w:before="0" w:line="276" w:lineRule="auto"/>
      </w:pPr>
      <w:r>
        <w:rPr>
          <w:rFonts w:ascii="Times New Roman" w:hAnsi="Times New Roman" w:cs="Times New Roman" w:eastAsia="Times New Roman"/>
          <w:b w:val="0"/>
          <w:i w:val="0"/>
          <w:sz w:val="24"/>
        </w:rPr>
        <w:t>Trên cơ sở phân tích mối nguy hiện tại, các mối nguy đáng kể được kiểm soát đến mức chấp nhận thông qua các OPRP nêu trên kết hợp chương trình PRP/SSOP, do đó hệ thống không thiết lập CCP riêng. Việc xác định này được xem xét lại định kỳ (≤12 tháng) hoặc khi có thay đổi nguyên liệu, công nghệ, hoặc khi kết quả thẩm tra/khiếu nại cho thấy cần thiết.</w:t>
      </w:r>
    </w:p>
    <w:p>
      <w:pPr>
        <w:spacing w:after="60" w:before="160" w:line="276" w:lineRule="auto"/>
      </w:pPr>
      <w:r>
        <w:rPr>
          <w:rFonts w:ascii="Times New Roman" w:hAnsi="Times New Roman" w:cs="Times New Roman" w:eastAsia="Times New Roman"/>
          <w:b/>
          <w:i w:val="0"/>
          <w:color w:val="1F3864"/>
          <w:sz w:val="25"/>
        </w:rPr>
        <w:t>6. Lưu hồ sơ</w:t>
      </w:r>
    </w:p>
    <w:tbl>
      <w:tblPr>
        <w:tblStyle w:val="TableGrid"/>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680"/>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STT</w:t>
            </w:r>
          </w:p>
        </w:tc>
        <w:tc>
          <w:tcPr>
            <w:tcW w:type="dxa" w:w="4535"/>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Tên hồ sơ</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Ký hiệu</w:t>
            </w:r>
          </w:p>
        </w:tc>
        <w:tc>
          <w:tcPr>
            <w:tcW w:type="dxa" w:w="1587"/>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Thời gian lưu</w:t>
            </w:r>
          </w:p>
        </w:tc>
        <w:tc>
          <w:tcPr>
            <w:tcW w:type="dxa" w:w="1928"/>
            <w:vAlign w:val="center"/>
            <w:tcMar>
              <w:top w:w="40" w:type="dxa"/>
              <w:bottom w:w="40" w:type="dxa"/>
              <w:start w:w="80" w:type="dxa"/>
              <w:end w:w="80" w:type="dxa"/>
            </w:tcMar>
            <w:shd w:val="clear" w:color="auto" w:fill="D9E2F3"/>
          </w:tcPr>
          <w:p>
            <w:pPr>
              <w:spacing w:after="0" w:before="0" w:line="264" w:lineRule="auto"/>
              <w:jc w:val="center"/>
            </w:pPr>
            <w:r/>
            <w:r>
              <w:rPr>
                <w:rFonts w:ascii="Times New Roman" w:hAnsi="Times New Roman" w:cs="Times New Roman" w:eastAsia="Times New Roman"/>
                <w:b/>
                <w:i w:val="0"/>
                <w:sz w:val="22"/>
              </w:rPr>
              <w:t>Nơi lưu</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1</w:t>
            </w:r>
          </w:p>
        </w:tc>
        <w:tc>
          <w:tcPr>
            <w:tcW w:type="dxa" w:w="453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Bảng xác định mối nguy &amp; phân loại CCP/OPRP</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KH.OPRP.01</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Lâu dài</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Ban ISO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2</w:t>
            </w:r>
          </w:p>
        </w:tc>
        <w:tc>
          <w:tcPr>
            <w:tcW w:type="dxa" w:w="453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Hồ sơ giám sát OPRP (phiếu SX, sổ kiểm tra)</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2 năm</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Phân xưởng/Ban ISO</w:t>
            </w:r>
          </w:p>
        </w:tc>
      </w:tr>
      <w:tr>
        <w:tc>
          <w:tcPr>
            <w:tcW w:type="dxa" w:w="680"/>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3</w:t>
            </w:r>
          </w:p>
        </w:tc>
        <w:tc>
          <w:tcPr>
            <w:tcW w:type="dxa" w:w="4535"/>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Hồ sơ thẩm tra OPRP</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w:t>
            </w:r>
          </w:p>
        </w:tc>
        <w:tc>
          <w:tcPr>
            <w:tcW w:type="dxa" w:w="1587"/>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2"/>
              </w:rPr>
              <w:t>3 năm</w:t>
            </w:r>
          </w:p>
        </w:tc>
        <w:tc>
          <w:tcPr>
            <w:tcW w:type="dxa" w:w="1928"/>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val="0"/>
                <w:i w:val="0"/>
                <w:sz w:val="22"/>
              </w:rPr>
              <w:t>Ban ISO</w:t>
            </w:r>
          </w:p>
        </w:tc>
      </w:tr>
    </w:tbl>
    <w:p>
      <w:pPr>
        <w:spacing w:after="40"/>
      </w:pPr>
    </w:p>
    <w:sectPr w:rsidR="00FC693F" w:rsidRPr="0006063C" w:rsidSect="00034616">
      <w:headerReference w:type="default" r:id="rId9"/>
      <w:footerReference w:type="default" r:id="rId10"/>
      <w:pgSz w:w="11906" w:h="16838"/>
      <w:pgMar w:top="794" w:right="68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color w:val="808080"/>
        <w:sz w:val="16"/>
      </w:rPr>
      <w:t>KH.OPRP.01 — Lần ban hành 01 — Ngày 13/06/2026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eGrid"/>
      <w:tblW w:type="auto" w:w="0"/>
      <w:tblLook w:firstColumn="1" w:firstRow="1" w:lastColumn="0" w:lastRow="0" w:noHBand="0" w:noVBand="1" w:val="04A0"/>
    </w:tblPr>
    <w:tblGrid>
      <w:gridCol w:w="3439"/>
      <w:gridCol w:w="3439"/>
      <w:gridCol w:w="3439"/>
    </w:tblGrid>
    <w:tr>
      <w:tc>
        <w:tcPr>
          <w:tcW w:type="dxa" w:w="6917"/>
          <w:vMerge w:val="restart"/>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i w:val="0"/>
              <w:sz w:val="22"/>
            </w:rPr>
            <w:t>KẾ HOẠCH OPRP VÀ XÁC ĐỊNH CCP/OPRP</w:t>
          </w: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Mã số</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KH.OPRP.01</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Ngày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13/06/2026</w:t>
          </w:r>
        </w:p>
      </w:tc>
    </w:tr>
    <w:tr>
      <w:tc>
        <w:tcPr>
          <w:tcW w:type="dxa" w:w="6917"/>
          <w:vMerge/>
        </w:tcPr>
        <w:p/>
      </w:tc>
      <w:tc>
        <w:tcPr>
          <w:tcW w:type="dxa" w:w="1701"/>
          <w:vAlign w:val="center"/>
          <w:tcMar>
            <w:top w:w="40" w:type="dxa"/>
            <w:bottom w:w="40" w:type="dxa"/>
            <w:start w:w="80" w:type="dxa"/>
            <w:end w:w="80" w:type="dxa"/>
          </w:tcMar>
        </w:tcPr>
        <w:p>
          <w:pPr>
            <w:spacing w:after="0" w:before="0" w:line="264" w:lineRule="auto"/>
          </w:pPr>
          <w:r/>
          <w:r>
            <w:rPr>
              <w:rFonts w:ascii="Times New Roman" w:hAnsi="Times New Roman" w:cs="Times New Roman" w:eastAsia="Times New Roman"/>
              <w:b/>
              <w:i w:val="0"/>
              <w:sz w:val="20"/>
            </w:rPr>
            <w:t>Lần ban hành</w:t>
          </w:r>
        </w:p>
      </w:tc>
      <w:tc>
        <w:tcPr>
          <w:tcW w:type="dxa" w:w="1701"/>
          <w:vAlign w:val="center"/>
          <w:tcMar>
            <w:top w:w="40" w:type="dxa"/>
            <w:bottom w:w="40" w:type="dxa"/>
            <w:start w:w="80" w:type="dxa"/>
            <w:end w:w="80" w:type="dxa"/>
          </w:tcMar>
        </w:tcPr>
        <w:p>
          <w:pPr>
            <w:spacing w:after="0" w:before="0" w:line="264" w:lineRule="auto"/>
            <w:jc w:val="center"/>
          </w:pPr>
          <w:r/>
          <w:r>
            <w:rPr>
              <w:rFonts w:ascii="Times New Roman" w:hAnsi="Times New Roman" w:cs="Times New Roman" w:eastAsia="Times New Roman"/>
              <w:b w:val="0"/>
              <w:i w:val="0"/>
              <w:sz w:val="20"/>
            </w:rPr>
            <w:t>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