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6"/>
        </w:rPr>
        <w:t>CÔNG TY CỔ PHẦN HOÀNG GIANG</w:t>
      </w:r>
    </w:p>
    <w:p>
      <w:pPr>
        <w:spacing w:after="40" w:before="0" w:line="276" w:lineRule="auto"/>
        <w:jc w:val="center"/>
      </w:pPr>
      <w:r>
        <w:rPr>
          <w:rFonts w:ascii="Times New Roman" w:hAnsi="Times New Roman" w:cs="Times New Roman" w:eastAsia="Times New Roman"/>
          <w:b/>
          <w:i w:val="0"/>
          <w:sz w:val="24"/>
        </w:rPr>
        <w:t>KẾ HOẠCH</w:t>
      </w:r>
    </w:p>
    <w:p>
      <w:pPr>
        <w:spacing w:after="120" w:before="0" w:line="276" w:lineRule="auto"/>
        <w:jc w:val="center"/>
      </w:pPr>
      <w:r>
        <w:rPr>
          <w:rFonts w:ascii="Times New Roman" w:hAnsi="Times New Roman" w:cs="Times New Roman" w:eastAsia="Times New Roman"/>
          <w:b/>
          <w:i w:val="0"/>
          <w:color w:val="1F3864"/>
          <w:sz w:val="30"/>
        </w:rPr>
        <w:t>THẨM ĐỊNH HẠN SỬ DỤNG SẢN PHẨM (SHELF-LIFE)</w:t>
      </w:r>
    </w:p>
    <w:p>
      <w:pPr>
        <w:spacing w:after="160" w:before="0" w:line="276" w:lineRule="auto"/>
        <w:jc w:val="center"/>
      </w:pPr>
      <w:r>
        <w:rPr>
          <w:rFonts w:ascii="Times New Roman" w:hAnsi="Times New Roman" w:cs="Times New Roman" w:eastAsia="Times New Roman"/>
          <w:b w:val="0"/>
          <w:i/>
          <w:sz w:val="22"/>
        </w:rPr>
        <w:t>Mã số: KH.SL.01        Lần ban hành: 01        Ngày ban hành: 13/06/2026</w:t>
      </w:r>
    </w:p>
    <w:tbl>
      <w:tblPr>
        <w:tblStyle w:val="TableGrid"/>
        <w:tblW w:type="auto" w:w="0"/>
        <w:jc w:val="center"/>
        <w:tblLook w:firstColumn="1" w:firstRow="1" w:lastColumn="0" w:lastRow="0" w:noHBand="0" w:noVBand="1" w:val="04A0"/>
      </w:tblPr>
      <w:tblGrid>
        <w:gridCol w:w="5159"/>
        <w:gridCol w:w="5159"/>
      </w:tblGrid>
      <w:tr>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SOẠN THẢO</w:t>
            </w:r>
          </w:p>
        </w:tc>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PHÊ DUYỆT</w:t>
            </w:r>
          </w:p>
        </w:tc>
      </w:tr>
      <w:tr>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Nguyễn Huy Chiến</w:t>
            </w:r>
          </w:p>
        </w:tc>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Đào Văn Tiến</w:t>
            </w:r>
          </w:p>
        </w:tc>
      </w:tr>
    </w:tbl>
    <w:p>
      <w:pPr>
        <w:spacing w:after="80" w:before="0" w:line="276" w:lineRule="auto"/>
      </w:pPr>
    </w:p>
    <w:p>
      <w:pPr>
        <w:spacing w:after="40" w:before="80" w:line="276" w:lineRule="auto"/>
      </w:pPr>
      <w:r>
        <w:rPr>
          <w:rFonts w:ascii="Times New Roman" w:hAnsi="Times New Roman" w:cs="Times New Roman" w:eastAsia="Times New Roman"/>
          <w:b/>
          <w:i w:val="0"/>
          <w:sz w:val="24"/>
        </w:rPr>
        <w:t>THEO DÕI SỬA ĐỔI</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Lần</w:t>
            </w:r>
          </w:p>
        </w:tc>
        <w:tc>
          <w:tcPr>
            <w:tcW w:type="dxa" w:w="124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Ngày</w:t>
            </w:r>
          </w:p>
        </w:tc>
        <w:tc>
          <w:tcPr>
            <w:tcW w:type="dxa" w:w="5669"/>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Nội dung sửa đổi</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Phê duyệt</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Soạn thảo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c>
          <w:tcPr>
            <w:tcW w:type="dxa" w:w="124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c>
          <w:tcPr>
            <w:tcW w:type="dxa" w:w="5669"/>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0"/>
              </w:rPr>
              <w:t>Ban hành lần đầu</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Đào Văn Tiến</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Nguyễn Huy Chiến</w:t>
            </w:r>
          </w:p>
        </w:tc>
      </w:tr>
    </w:tbl>
    <w:p>
      <w:pPr>
        <w:spacing w:after="40"/>
      </w:pPr>
    </w:p>
    <w:p>
      <w:pPr>
        <w:spacing w:after="40" w:before="0" w:line="276" w:lineRule="auto"/>
      </w:pPr>
    </w:p>
    <w:p>
      <w:pPr>
        <w:spacing w:after="60" w:before="160" w:line="276" w:lineRule="auto"/>
      </w:pPr>
      <w:r>
        <w:rPr>
          <w:rFonts w:ascii="Times New Roman" w:hAnsi="Times New Roman" w:cs="Times New Roman" w:eastAsia="Times New Roman"/>
          <w:b/>
          <w:i w:val="0"/>
          <w:color w:val="1F3864"/>
          <w:sz w:val="25"/>
        </w:rPr>
        <w:t>1. Mục đích</w:t>
      </w:r>
    </w:p>
    <w:p>
      <w:pPr>
        <w:spacing w:after="80" w:before="0" w:line="276" w:lineRule="auto"/>
      </w:pPr>
      <w:r>
        <w:rPr>
          <w:rFonts w:ascii="Times New Roman" w:hAnsi="Times New Roman" w:cs="Times New Roman" w:eastAsia="Times New Roman"/>
          <w:b w:val="0"/>
          <w:i w:val="0"/>
          <w:sz w:val="24"/>
        </w:rPr>
        <w:t>Quy định phương pháp thẩm định và xác nhận hạn sử dụng (shelf-life) của sản phẩm nhằm bảo đảm sản phẩm an toàn và đạt chất lượng trong suốt thời gian công bố; đáp ứng ISO 22000:2018 mục 8.5.3.</w:t>
      </w:r>
    </w:p>
    <w:p>
      <w:pPr>
        <w:spacing w:after="60" w:before="160" w:line="276" w:lineRule="auto"/>
      </w:pPr>
      <w:r>
        <w:rPr>
          <w:rFonts w:ascii="Times New Roman" w:hAnsi="Times New Roman" w:cs="Times New Roman" w:eastAsia="Times New Roman"/>
          <w:b/>
          <w:i w:val="0"/>
          <w:color w:val="1F3864"/>
          <w:sz w:val="25"/>
        </w:rPr>
        <w:t>2. Phạm vi áp dụng</w:t>
      </w:r>
    </w:p>
    <w:p>
      <w:pPr>
        <w:spacing w:after="80" w:before="0" w:line="276" w:lineRule="auto"/>
      </w:pPr>
      <w:r>
        <w:rPr>
          <w:rFonts w:ascii="Times New Roman" w:hAnsi="Times New Roman" w:cs="Times New Roman" w:eastAsia="Times New Roman"/>
          <w:b w:val="0"/>
          <w:i w:val="0"/>
          <w:sz w:val="24"/>
        </w:rPr>
        <w:t>Áp dụng cho các sản phẩm bánh đậu xanh, bột đậu khi xây dựng mới hoặc thay đổi công thức, bao bì, điều kiện bảo quản hoặc khi cần xác nhận lại hạn dùng đã công bố.</w:t>
      </w:r>
    </w:p>
    <w:p>
      <w:pPr>
        <w:spacing w:after="60" w:before="160" w:line="276" w:lineRule="auto"/>
      </w:pPr>
      <w:r>
        <w:rPr>
          <w:rFonts w:ascii="Times New Roman" w:hAnsi="Times New Roman" w:cs="Times New Roman" w:eastAsia="Times New Roman"/>
          <w:b/>
          <w:i w:val="0"/>
          <w:color w:val="1F3864"/>
          <w:sz w:val="25"/>
        </w:rPr>
        <w:t>3. Tài liệu tham khảo</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ISO 22000:2018 (8.5.3 – Thẩm định biện pháp kiểm soát)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QCVN 8-3:2012/BYT (vi sinh vật); TCVN 7240:2003 (bánh đậu xanh)</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KH.KN.01 – Kế hoạch kiểm nghiệm; QT 04 – Thẩm tra hệ thống</w:t>
      </w:r>
    </w:p>
    <w:p>
      <w:pPr>
        <w:spacing w:after="60" w:before="160" w:line="276" w:lineRule="auto"/>
      </w:pPr>
      <w:r>
        <w:rPr>
          <w:rFonts w:ascii="Times New Roman" w:hAnsi="Times New Roman" w:cs="Times New Roman" w:eastAsia="Times New Roman"/>
          <w:b/>
          <w:i w:val="0"/>
          <w:color w:val="1F3864"/>
          <w:sz w:val="25"/>
        </w:rPr>
        <w:t>4. Định nghĩa, viết tắt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Hạn sử dụng (shelf-life): khoảng thời gian sản phẩm duy trì an toàn và chất lượng trong điều kiện bảo quản quy định.</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Thử nghiệm thời gian thực (real-time): theo dõi sản phẩm trong điều kiện bảo quản thực tế theo thời gian.</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Aw (hoạt độ nước): chỉ tiêu kiểm soát sự phát triển vi sinh/mốc.</w:t>
      </w:r>
    </w:p>
    <w:p>
      <w:pPr>
        <w:spacing w:after="60" w:before="160" w:line="276" w:lineRule="auto"/>
      </w:pPr>
      <w:r>
        <w:rPr>
          <w:rFonts w:ascii="Times New Roman" w:hAnsi="Times New Roman" w:cs="Times New Roman" w:eastAsia="Times New Roman"/>
          <w:b/>
          <w:i w:val="0"/>
          <w:color w:val="1F3864"/>
          <w:sz w:val="25"/>
        </w:rPr>
        <w:t>5. Nội dung</w:t>
      </w:r>
    </w:p>
    <w:p>
      <w:pPr>
        <w:spacing w:after="40" w:before="100" w:line="276" w:lineRule="auto"/>
      </w:pPr>
      <w:r>
        <w:rPr>
          <w:rFonts w:ascii="Times New Roman" w:hAnsi="Times New Roman" w:cs="Times New Roman" w:eastAsia="Times New Roman"/>
          <w:b/>
          <w:i w:val="0"/>
          <w:sz w:val="24"/>
        </w:rPr>
        <w:t>5.1 Phương pháp thẩm định</w:t>
      </w:r>
    </w:p>
    <w:p>
      <w:pPr>
        <w:spacing w:after="80" w:before="0" w:line="276" w:lineRule="auto"/>
      </w:pPr>
      <w:r>
        <w:rPr>
          <w:rFonts w:ascii="Times New Roman" w:hAnsi="Times New Roman" w:cs="Times New Roman" w:eastAsia="Times New Roman"/>
          <w:b w:val="0"/>
          <w:i w:val="0"/>
          <w:sz w:val="24"/>
        </w:rPr>
        <w:t>Áp dụng thử nghiệm thời gian thực kết hợp đánh giá định kỳ. Mỗi sản phẩm bố trí tối thiểu một đợt theo dõi đủ phủ thời hạn công bố (vd 270 ngày / 12 tháng), lấy mẫu tại các mốc kiểm tra; có thể tham chiếu dữ liệu lịch sử và đặc tính sản phẩm (độ ẩm thấp, Aw thấp).</w:t>
      </w:r>
    </w:p>
    <w:p>
      <w:pPr>
        <w:spacing w:after="40" w:before="100" w:line="276" w:lineRule="auto"/>
      </w:pPr>
      <w:r>
        <w:rPr>
          <w:rFonts w:ascii="Times New Roman" w:hAnsi="Times New Roman" w:cs="Times New Roman" w:eastAsia="Times New Roman"/>
          <w:b/>
          <w:i w:val="0"/>
          <w:sz w:val="24"/>
        </w:rPr>
        <w:t>5.2 Chỉ tiêu và mốc theo dõi</w:t>
      </w:r>
    </w:p>
    <w:tbl>
      <w:tblPr>
        <w:tblStyle w:val="TableGrid"/>
        <w:tblW w:type="auto" w:w="0"/>
        <w:jc w:val="center"/>
        <w:tblLayout w:type="fixed"/>
        <w:tblLook w:firstColumn="1" w:firstRow="1" w:lastColumn="0" w:lastRow="0" w:noHBand="0" w:noVBand="1" w:val="04A0"/>
      </w:tblPr>
      <w:tblGrid>
        <w:gridCol w:w="3440"/>
        <w:gridCol w:w="3440"/>
        <w:gridCol w:w="3440"/>
      </w:tblGrid>
      <w:tr>
        <w:trPr>
          <w:tblHeader w:val="true"/>
        </w:trPr>
        <w:tc>
          <w:tcPr>
            <w:tcW w:type="dxa" w:w="226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Mốc theo dõi</w:t>
            </w:r>
          </w:p>
        </w:tc>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Chỉ tiêu đánh giá</w:t>
            </w:r>
          </w:p>
        </w:tc>
        <w:tc>
          <w:tcPr>
            <w:tcW w:type="dxa" w:w="294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Tiêu chí đạt</w:t>
            </w:r>
          </w:p>
        </w:tc>
      </w:tr>
      <w:tr>
        <w:tc>
          <w:tcPr>
            <w:tcW w:type="dxa" w:w="226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T0 (sau sản xuất)</w:t>
            </w:r>
          </w:p>
        </w:tc>
        <w:tc>
          <w:tcPr>
            <w:tcW w:type="dxa" w:w="510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Cảm quan; độ ẩm/Aw; vi sinh (theo QCVN 8-3); ngoại quan bao gói</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Đạt TCCS/QCVN</w:t>
            </w:r>
          </w:p>
        </w:tc>
      </w:tr>
      <w:tr>
        <w:tc>
          <w:tcPr>
            <w:tcW w:type="dxa" w:w="226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Định kỳ (vd 1, 3, 6, 9 tháng)</w:t>
            </w:r>
          </w:p>
        </w:tc>
        <w:tc>
          <w:tcPr>
            <w:tcW w:type="dxa" w:w="510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Cảm quan; độ ẩm/Aw; nấm mốc, TPC; tình trạng bao gói</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Trong giới hạn cho phép</w:t>
            </w:r>
          </w:p>
        </w:tc>
      </w:tr>
      <w:tr>
        <w:tc>
          <w:tcPr>
            <w:tcW w:type="dxa" w:w="226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Cuối hạn công bố</w:t>
            </w:r>
          </w:p>
        </w:tc>
        <w:tc>
          <w:tcPr>
            <w:tcW w:type="dxa" w:w="5102"/>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Toàn bộ chỉ tiêu an toàn &amp; chất lượng then chốt</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Vẫn đạt — xác nhận hạn dùng</w:t>
            </w:r>
          </w:p>
        </w:tc>
      </w:tr>
    </w:tbl>
    <w:p>
      <w:pPr>
        <w:spacing w:after="40"/>
      </w:pPr>
    </w:p>
    <w:p>
      <w:pPr>
        <w:spacing w:after="40" w:before="100" w:line="276" w:lineRule="auto"/>
      </w:pPr>
      <w:r>
        <w:rPr>
          <w:rFonts w:ascii="Times New Roman" w:hAnsi="Times New Roman" w:cs="Times New Roman" w:eastAsia="Times New Roman"/>
          <w:b/>
          <w:i w:val="0"/>
          <w:sz w:val="24"/>
        </w:rPr>
        <w:t>5.3 Điều kiện và phê duyệt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Mẫu được bảo quản đúng điều kiện công bố (nhiệt độ thường, tránh ẩm); ghi nhận điều kiện theo dõi.</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Kết quả tổng hợp vào Báo cáo thẩm định hạn dùng (BM.SL.01); Ban ISO đánh giá và trình phê duyệt.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Hạn dùng chỉ được công bố/điều chỉnh khi có kết quả thẩm định đạt.</w:t>
      </w:r>
    </w:p>
    <w:p>
      <w:pPr>
        <w:spacing w:after="40" w:before="100" w:line="276" w:lineRule="auto"/>
      </w:pPr>
      <w:r>
        <w:rPr>
          <w:rFonts w:ascii="Times New Roman" w:hAnsi="Times New Roman" w:cs="Times New Roman" w:eastAsia="Times New Roman"/>
          <w:b/>
          <w:i w:val="0"/>
          <w:sz w:val="24"/>
        </w:rPr>
        <w:t>5.4 Xem xét lại</w:t>
      </w:r>
    </w:p>
    <w:p>
      <w:pPr>
        <w:spacing w:after="80" w:before="0" w:line="276" w:lineRule="auto"/>
      </w:pPr>
      <w:r>
        <w:rPr>
          <w:rFonts w:ascii="Times New Roman" w:hAnsi="Times New Roman" w:cs="Times New Roman" w:eastAsia="Times New Roman"/>
          <w:b w:val="0"/>
          <w:i w:val="0"/>
          <w:sz w:val="24"/>
        </w:rPr>
        <w:t>Thẩm định lại khi thay đổi công thức, nguyên liệu, bao bì, công nghệ, hoặc khi có khiếu nại/kết quả kiểm nghiệm bất thường liên quan đến độ ổn định sản phẩm.</w:t>
      </w:r>
    </w:p>
    <w:p>
      <w:pPr>
        <w:spacing w:after="60" w:before="160" w:line="276" w:lineRule="auto"/>
      </w:pPr>
      <w:r>
        <w:rPr>
          <w:rFonts w:ascii="Times New Roman" w:hAnsi="Times New Roman" w:cs="Times New Roman" w:eastAsia="Times New Roman"/>
          <w:b/>
          <w:i w:val="0"/>
          <w:color w:val="1F3864"/>
          <w:sz w:val="25"/>
        </w:rPr>
        <w:t>6. Lưu hồ sơ</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STT</w:t>
            </w:r>
          </w:p>
        </w:tc>
        <w:tc>
          <w:tcPr>
            <w:tcW w:type="dxa" w:w="4535"/>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Tên hồ sơ</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Ký hiệu</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Thời gian lưu</w:t>
            </w:r>
          </w:p>
        </w:tc>
        <w:tc>
          <w:tcPr>
            <w:tcW w:type="dxa" w:w="192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Nơi lưu</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1</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Kế hoạch thẩm định hạn dùng</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KH.SL.01</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Lâu dài</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Báo cáo/kết quả thẩm định hạn dùng</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BM.SL.01</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 năm</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Phiếu kiểm nghiệm theo mốc</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 năm</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bl>
    <w:p>
      <w:pPr>
        <w:spacing w:after="40"/>
      </w:pPr>
    </w:p>
    <w:sectPr w:rsidR="00FC693F" w:rsidRPr="0006063C" w:rsidSect="00034616">
      <w:headerReference w:type="default" r:id="rId9"/>
      <w:footerReference w:type="default" r:id="rId10"/>
      <w:pgSz w:w="11906" w:h="16838"/>
      <w:pgMar w:top="794" w:right="68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color w:val="808080"/>
        <w:sz w:val="16"/>
      </w:rPr>
      <w:t>KH.SL.01 — Lần ban hành 01 — Ngày 13/06/2026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tblLook w:firstColumn="1" w:firstRow="1" w:lastColumn="0" w:lastRow="0" w:noHBand="0" w:noVBand="1" w:val="04A0"/>
    </w:tblPr>
    <w:tblGrid>
      <w:gridCol w:w="3439"/>
      <w:gridCol w:w="3439"/>
      <w:gridCol w:w="3439"/>
    </w:tblGrid>
    <w:tr>
      <w:tc>
        <w:tcPr>
          <w:tcW w:type="dxa" w:w="6917"/>
          <w:vMerge w:val="restart"/>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i w:val="0"/>
              <w:sz w:val="22"/>
            </w:rPr>
            <w:t>KẾ HOẠCH THẨM ĐỊNH HẠN SỬ DỤNG (SHELF-LIFE)</w:t>
          </w: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Mã số</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KH.SL.01</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Ngày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Lần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