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center"/>
      </w:pPr>
      <w:r>
        <w:rPr>
          <w:rFonts w:ascii="Arial" w:hAnsi="Arial"/>
          <w:b/>
          <w:color w:val="000000"/>
          <w:sz w:val="24"/>
        </w:rPr>
        <w:t>CÔNG TY CỔ PHẦN HOÀNG GIANG</w:t>
      </w:r>
    </w:p>
    <w:p>
      <w:pPr>
        <w:spacing w:after="60"/>
        <w:jc w:val="center"/>
      </w:pPr>
      <w:r>
        <w:rPr>
          <w:rFonts w:ascii="Arial" w:hAnsi="Arial"/>
          <w:b/>
          <w:color w:val="1F4E78"/>
          <w:sz w:val="32"/>
        </w:rPr>
        <w:t>NỘI QUY AN TOÀN VỆ SINH THỰC PHẨM</w:t>
      </w:r>
    </w:p>
    <w:p>
      <w:pPr>
        <w:spacing w:after="60"/>
        <w:jc w:val="center"/>
      </w:pPr>
      <w:r>
        <w:rPr>
          <w:rFonts w:ascii="Arial" w:hAnsi="Arial"/>
          <w:b w:val="0"/>
          <w:color w:val="000000"/>
          <w:sz w:val="20"/>
        </w:rPr>
        <w:t>Mã số: NQ.ATTP.01    |    Lần ban hành: 01    |    Ngày ban hành: …../…../……..</w:t>
      </w:r>
    </w:p>
    <w:p>
      <w:pPr>
        <w:spacing w:after="60"/>
        <w:jc w:val="center"/>
      </w:pPr>
      <w:r>
        <w:rPr>
          <w:rFonts w:ascii="Arial" w:hAnsi="Arial"/>
          <w:b w:val="0"/>
          <w:color w:val="000000"/>
          <w:sz w:val="20"/>
        </w:rPr>
        <w:t>(Áp dụng cho toàn bộ khu vực sản xuất, kho và người lao động liên quan đến thực phẩm)</w:t>
      </w:r>
    </w:p>
    <w:p>
      <w:pPr>
        <w:spacing w:before="200" w:after="40"/>
        <w:jc w:val="center"/>
      </w:pPr>
      <w:r>
        <w:rPr>
          <w:rFonts w:ascii="Arial" w:hAnsi="Arial"/>
          <w:b/>
          <w:color w:val="1F4E78"/>
          <w:sz w:val="26"/>
        </w:rPr>
        <w:t>CHƯƠNG I — QUY ĐỊNH CHUNG</w:t>
      </w:r>
    </w:p>
    <w:p>
      <w:pPr>
        <w:spacing w:before="120" w:after="40"/>
      </w:pPr>
      <w:r>
        <w:rPr>
          <w:rFonts w:ascii="Arial" w:hAnsi="Arial"/>
          <w:b/>
          <w:sz w:val="23"/>
        </w:rPr>
        <w:t>Điều 1. Mục đích</w:t>
      </w:r>
    </w:p>
    <w:p>
      <w:pPr>
        <w:spacing w:after="40"/>
      </w:pPr>
      <w:r>
        <w:rPr>
          <w:rFonts w:ascii="Arial" w:hAnsi="Arial"/>
          <w:sz w:val="22"/>
        </w:rPr>
        <w:t>Nội quy này quy định các yêu cầu bắt buộc về an toàn vệ sinh thực phẩm (ATVSTP) nhằm: bảo đảm sản phẩm bánh đậu xanh, bột đậu an toàn cho người tiêu dùng; phòng ngừa các mối nguy sinh học, hóa học, vật lý; duy trì điều kiện vệ sinh theo hệ thống quản lý ATTP ISO 22000:2018; làm cơ sở để yêu cầu tuân thủ, giám sát và xử lý vi phạm.</w:t>
      </w:r>
    </w:p>
    <w:p>
      <w:pPr>
        <w:spacing w:before="120" w:after="40"/>
      </w:pPr>
      <w:r>
        <w:rPr>
          <w:rFonts w:ascii="Arial" w:hAnsi="Arial"/>
          <w:b/>
          <w:sz w:val="23"/>
        </w:rPr>
        <w:t>Điều 2. Phạm vi và đối tượng áp dụng</w:t>
      </w:r>
    </w:p>
    <w:p>
      <w:pPr>
        <w:pStyle w:val="ListBullet"/>
        <w:spacing w:after="20"/>
      </w:pPr>
      <w:r>
        <w:rPr>
          <w:rFonts w:ascii="Arial" w:hAnsi="Arial"/>
          <w:sz w:val="22"/>
        </w:rPr>
        <w:t>Áp dụng tại toàn bộ khu vực sản xuất, kho nguyên liệu, kho bao bì, kho thành phẩm và khu phụ trợ.</w:t>
      </w:r>
    </w:p>
    <w:p>
      <w:pPr>
        <w:pStyle w:val="ListBullet"/>
        <w:spacing w:after="20"/>
      </w:pPr>
      <w:r>
        <w:rPr>
          <w:rFonts w:ascii="Arial" w:hAnsi="Arial"/>
          <w:sz w:val="22"/>
        </w:rPr>
        <w:t>Áp dụng cho TẤT CẢ người lao động (công nhân, KCS, kỹ thuật, cơ điện, kho, quản lý), và cả khách, nhà thầu, đoàn kiểm tra khi vào khu vực sản xuất.</w:t>
      </w:r>
    </w:p>
    <w:p>
      <w:pPr>
        <w:spacing w:before="120" w:after="40"/>
      </w:pPr>
      <w:r>
        <w:rPr>
          <w:rFonts w:ascii="Arial" w:hAnsi="Arial"/>
          <w:b/>
          <w:sz w:val="23"/>
        </w:rPr>
        <w:t>Điều 3. Căn cứ pháp lý và tài liệu viện dẫn</w:t>
      </w:r>
    </w:p>
    <w:p>
      <w:pPr>
        <w:pStyle w:val="ListBullet"/>
        <w:spacing w:after="20"/>
      </w:pPr>
      <w:r>
        <w:rPr>
          <w:rFonts w:ascii="Arial" w:hAnsi="Arial"/>
          <w:sz w:val="22"/>
        </w:rPr>
        <w:t>Luật An toàn thực phẩm 2010 (sửa đổi, bổ sung bởi Luật 28/2018/QH14).</w:t>
      </w:r>
    </w:p>
    <w:p>
      <w:pPr>
        <w:pStyle w:val="ListBullet"/>
        <w:spacing w:after="20"/>
      </w:pPr>
      <w:r>
        <w:rPr>
          <w:rFonts w:ascii="Arial" w:hAnsi="Arial"/>
          <w:sz w:val="22"/>
        </w:rPr>
        <w:t>Nghị định 46/2026/NĐ-CP quy định chi tiết thi hành Luật ATTP (thay thế Nghị định 15/2018/NĐ-CP).</w:t>
      </w:r>
    </w:p>
    <w:p>
      <w:pPr>
        <w:pStyle w:val="ListBullet"/>
        <w:spacing w:after="20"/>
      </w:pPr>
      <w:r>
        <w:rPr>
          <w:rFonts w:ascii="Arial" w:hAnsi="Arial"/>
          <w:sz w:val="22"/>
        </w:rPr>
        <w:t>Nghị định 155/2018/NĐ-CP về điều kiện bảo đảm an toàn thực phẩm.</w:t>
      </w:r>
    </w:p>
    <w:p>
      <w:pPr>
        <w:pStyle w:val="ListBullet"/>
        <w:spacing w:after="20"/>
      </w:pPr>
      <w:r>
        <w:rPr>
          <w:rFonts w:ascii="Arial" w:hAnsi="Arial"/>
          <w:sz w:val="22"/>
        </w:rPr>
        <w:t>Thông tư 24/2019/TT-BYT về quản lý và sử dụng phụ gia thực phẩm.</w:t>
      </w:r>
    </w:p>
    <w:p>
      <w:pPr>
        <w:pStyle w:val="ListBullet"/>
        <w:spacing w:after="20"/>
      </w:pPr>
      <w:r>
        <w:rPr>
          <w:rFonts w:ascii="Arial" w:hAnsi="Arial"/>
          <w:sz w:val="22"/>
        </w:rPr>
        <w:t>Tiêu chuẩn ISO 22000:2018; Sổ tay ATTP, Quy phạm vệ sinh PRP/SSOP và các quy trình của Công ty.</w:t>
      </w:r>
    </w:p>
    <w:p>
      <w:pPr>
        <w:spacing w:before="120" w:after="40"/>
      </w:pPr>
      <w:r>
        <w:rPr>
          <w:rFonts w:ascii="Arial" w:hAnsi="Arial"/>
          <w:b/>
          <w:sz w:val="23"/>
        </w:rPr>
        <w:t>Điều 4. Giải thích từ ngữ</w:t>
      </w:r>
    </w:p>
    <w:p>
      <w:pPr>
        <w:pStyle w:val="ListBullet"/>
        <w:spacing w:after="20"/>
      </w:pPr>
      <w:r>
        <w:rPr>
          <w:rFonts w:ascii="Arial" w:hAnsi="Arial"/>
          <w:sz w:val="22"/>
        </w:rPr>
        <w:t>ATVSTP: an toàn vệ sinh thực phẩm. KCS: kiểm tra chất lượng sản phẩm. BHLĐ: bảo hộ lao động.</w:t>
      </w:r>
    </w:p>
    <w:p>
      <w:pPr>
        <w:pStyle w:val="ListBullet"/>
        <w:spacing w:after="20"/>
      </w:pPr>
      <w:r>
        <w:rPr>
          <w:rFonts w:ascii="Arial" w:hAnsi="Arial"/>
          <w:sz w:val="22"/>
        </w:rPr>
        <w:t>Bề mặt tiếp xúc thực phẩm: mọi bề mặt thiết bị, dụng cụ, tay người… tiếp xúc trực tiếp với sản phẩm.</w:t>
      </w:r>
    </w:p>
    <w:p>
      <w:pPr>
        <w:spacing w:before="200" w:after="40"/>
        <w:jc w:val="center"/>
      </w:pPr>
      <w:r>
        <w:rPr>
          <w:rFonts w:ascii="Arial" w:hAnsi="Arial"/>
          <w:b/>
          <w:color w:val="1F4E78"/>
          <w:sz w:val="26"/>
        </w:rPr>
        <w:t>CHƯƠNG II — SỨC KHỎE VÀ VỆ SINH NGƯỜI LAO ĐỘNG</w:t>
      </w:r>
    </w:p>
    <w:p>
      <w:pPr>
        <w:spacing w:before="120" w:after="40"/>
      </w:pPr>
      <w:r>
        <w:rPr>
          <w:rFonts w:ascii="Arial" w:hAnsi="Arial"/>
          <w:b/>
          <w:sz w:val="23"/>
        </w:rPr>
        <w:t>Điều 5. Khám sức khỏe và tập huấn</w:t>
      </w:r>
    </w:p>
    <w:p>
      <w:pPr>
        <w:pStyle w:val="ListBullet"/>
        <w:spacing w:after="20"/>
      </w:pPr>
      <w:r>
        <w:rPr>
          <w:rFonts w:ascii="Arial" w:hAnsi="Arial"/>
          <w:sz w:val="22"/>
        </w:rPr>
        <w:t>Người trực tiếp sản xuất phải được khám sức khỏe trước khi tuyển dụng và định kỳ tối thiểu mỗi năm 01 lần; chỉ bố trí làm việc khi đủ điều kiện sức khỏe.</w:t>
      </w:r>
    </w:p>
    <w:p>
      <w:pPr>
        <w:pStyle w:val="ListBullet"/>
        <w:spacing w:after="20"/>
      </w:pPr>
      <w:r>
        <w:rPr>
          <w:rFonts w:ascii="Arial" w:hAnsi="Arial"/>
          <w:sz w:val="22"/>
        </w:rPr>
        <w:t>Không bố trí người đang mắc bệnh truyền nhiễm, bệnh ngoài da, tiêu chảy, ho/sốt vào khu vực tiếp xúc thực phẩm.</w:t>
      </w:r>
    </w:p>
    <w:p>
      <w:pPr>
        <w:pStyle w:val="ListBullet"/>
        <w:spacing w:after="20"/>
      </w:pPr>
      <w:r>
        <w:rPr>
          <w:rFonts w:ascii="Arial" w:hAnsi="Arial"/>
          <w:sz w:val="22"/>
        </w:rPr>
        <w:t>Tất cả người lao động phải được tập huấn kiến thức ATTP và nắm vững nội quy này trước khi vào làm.</w:t>
      </w:r>
    </w:p>
    <w:p>
      <w:pPr>
        <w:spacing w:before="120" w:after="40"/>
      </w:pPr>
      <w:r>
        <w:rPr>
          <w:rFonts w:ascii="Arial" w:hAnsi="Arial"/>
          <w:b/>
          <w:sz w:val="23"/>
        </w:rPr>
        <w:t>Điều 6. Vệ sinh cá nhân</w:t>
      </w:r>
    </w:p>
    <w:p>
      <w:pPr>
        <w:pStyle w:val="ListBullet"/>
        <w:spacing w:after="20"/>
      </w:pPr>
      <w:r>
        <w:rPr>
          <w:rFonts w:ascii="Arial" w:hAnsi="Arial"/>
          <w:sz w:val="22"/>
        </w:rPr>
        <w:t>Giữ cơ thể, tóc, tay sạch sẽ; móng tay cắt ngắn, không sơn móng, không đeo móng giả.</w:t>
      </w:r>
    </w:p>
    <w:p>
      <w:pPr>
        <w:pStyle w:val="ListBullet"/>
        <w:spacing w:after="20"/>
      </w:pPr>
      <w:r>
        <w:rPr>
          <w:rFonts w:ascii="Arial" w:hAnsi="Arial"/>
          <w:sz w:val="22"/>
        </w:rPr>
        <w:t>Không đeo đồng hồ, nhẫn, vòng, hoa tai, trang sức; không mang vật dụng cá nhân rời (kẹp, ghim, bút rời…) vào khu sản xuất.</w:t>
      </w:r>
    </w:p>
    <w:p>
      <w:pPr>
        <w:pStyle w:val="ListBullet"/>
        <w:spacing w:after="20"/>
      </w:pPr>
      <w:r>
        <w:rPr>
          <w:rFonts w:ascii="Arial" w:hAnsi="Arial"/>
          <w:sz w:val="22"/>
        </w:rPr>
        <w:t>Tóc phải gọn trong mũ/lưới trùm tóc; nam cạo/râu gọn hoặc che chắn.</w:t>
      </w:r>
    </w:p>
    <w:p>
      <w:pPr>
        <w:spacing w:before="120" w:after="40"/>
      </w:pPr>
      <w:r>
        <w:rPr>
          <w:rFonts w:ascii="Arial" w:hAnsi="Arial"/>
          <w:b/>
          <w:sz w:val="23"/>
        </w:rPr>
        <w:t>Điều 7. Trang phục bảo hộ lao động</w:t>
      </w:r>
    </w:p>
    <w:p>
      <w:pPr>
        <w:pStyle w:val="ListBullet"/>
        <w:spacing w:after="20"/>
      </w:pPr>
      <w:r>
        <w:rPr>
          <w:rFonts w:ascii="Arial" w:hAnsi="Arial"/>
          <w:sz w:val="22"/>
        </w:rPr>
        <w:t>Mặc đầy đủ BHLĐ sạch theo quy định: quần áo/yếm, mũ trùm tóc, khẩu trang, giày/ủng khu sản xuất; nơi yêu cầu phải đeo găng tay.</w:t>
      </w:r>
    </w:p>
    <w:p>
      <w:pPr>
        <w:pStyle w:val="ListBullet"/>
        <w:spacing w:after="20"/>
      </w:pPr>
      <w:r>
        <w:rPr>
          <w:rFonts w:ascii="Arial" w:hAnsi="Arial"/>
          <w:sz w:val="22"/>
        </w:rPr>
        <w:t>BHLĐ chỉ mặc trong khu sản xuất; không mặc ra khu vệ sinh, căng tin, ra ngoài; thay/giặt khi bẩn.</w:t>
      </w:r>
    </w:p>
    <w:p>
      <w:pPr>
        <w:spacing w:before="120" w:after="40"/>
      </w:pPr>
      <w:r>
        <w:rPr>
          <w:rFonts w:ascii="Arial" w:hAnsi="Arial"/>
          <w:b/>
          <w:sz w:val="23"/>
        </w:rPr>
        <w:t>Điều 8. Rửa và khử trùng tay</w:t>
      </w:r>
    </w:p>
    <w:p>
      <w:pPr>
        <w:spacing w:after="40"/>
      </w:pPr>
      <w:r>
        <w:rPr>
          <w:rFonts w:ascii="Arial" w:hAnsi="Arial"/>
          <w:sz w:val="22"/>
        </w:rPr>
        <w:t>Phải rửa tay và khử trùng tay trong các trường hợp:</w:t>
      </w:r>
    </w:p>
    <w:p>
      <w:pPr>
        <w:pStyle w:val="ListBullet"/>
        <w:spacing w:after="20"/>
      </w:pPr>
      <w:r>
        <w:rPr>
          <w:rFonts w:ascii="Arial" w:hAnsi="Arial"/>
          <w:sz w:val="22"/>
        </w:rPr>
        <w:t>Trước khi vào khu sản xuất và sau mỗi lần ra ngoài.</w:t>
      </w:r>
    </w:p>
    <w:p>
      <w:pPr>
        <w:pStyle w:val="ListBullet"/>
        <w:spacing w:after="20"/>
      </w:pPr>
      <w:r>
        <w:rPr>
          <w:rFonts w:ascii="Arial" w:hAnsi="Arial"/>
          <w:sz w:val="22"/>
        </w:rPr>
        <w:t>Sau khi đi vệ sinh, sau khi ho/hắt hơi/xì mũi, sau khi cầm vật bẩn, rác, hóa chất.</w:t>
      </w:r>
    </w:p>
    <w:p>
      <w:pPr>
        <w:pStyle w:val="ListBullet"/>
        <w:spacing w:after="20"/>
      </w:pPr>
      <w:r>
        <w:rPr>
          <w:rFonts w:ascii="Arial" w:hAnsi="Arial"/>
          <w:sz w:val="22"/>
        </w:rPr>
        <w:t>Trước và trong quá trình tiếp xúc trực tiếp với sản phẩm khi cần.</w:t>
      </w:r>
    </w:p>
    <w:p>
      <w:pPr>
        <w:spacing w:before="120" w:after="40"/>
      </w:pPr>
      <w:r>
        <w:rPr>
          <w:rFonts w:ascii="Arial" w:hAnsi="Arial"/>
          <w:b/>
          <w:sz w:val="23"/>
        </w:rPr>
        <w:t>Điều 9. Hành vi bị nghiêm cấm trong khu vực sản xuất</w:t>
      </w:r>
    </w:p>
    <w:p>
      <w:pPr>
        <w:pStyle w:val="ListBullet"/>
        <w:spacing w:after="20"/>
      </w:pPr>
      <w:r>
        <w:rPr>
          <w:rFonts w:ascii="Arial" w:hAnsi="Arial"/>
          <w:sz w:val="22"/>
        </w:rPr>
        <w:t>Cấm ăn uống, nhai kẹo cao su, hút thuốc, khạc nhổ.</w:t>
      </w:r>
    </w:p>
    <w:p>
      <w:pPr>
        <w:pStyle w:val="ListBullet"/>
        <w:spacing w:after="20"/>
      </w:pPr>
      <w:r>
        <w:rPr>
          <w:rFonts w:ascii="Arial" w:hAnsi="Arial"/>
          <w:sz w:val="22"/>
        </w:rPr>
        <w:t>Cấm để móng tay dài, sơn móng, đeo trang sức; cấm dùng điện thoại tại khu tiếp xúc sản phẩm (trừ khi được phép).</w:t>
      </w:r>
    </w:p>
    <w:p>
      <w:pPr>
        <w:pStyle w:val="ListBullet"/>
        <w:spacing w:after="20"/>
      </w:pPr>
      <w:r>
        <w:rPr>
          <w:rFonts w:ascii="Arial" w:hAnsi="Arial"/>
          <w:sz w:val="22"/>
        </w:rPr>
        <w:t>Cấm mang thực phẩm cá nhân, thuốc lá, vật dễ vỡ (chai/cốc thủy tinh) vào khu sản xuất.</w:t>
      </w:r>
    </w:p>
    <w:p>
      <w:pPr>
        <w:pStyle w:val="ListBullet"/>
        <w:spacing w:after="20"/>
      </w:pPr>
      <w:r>
        <w:rPr>
          <w:rFonts w:ascii="Arial" w:hAnsi="Arial"/>
          <w:sz w:val="22"/>
        </w:rPr>
        <w:t>Cấm ngồi, nằm, để đồ lên bàn/thiết bị tiếp xúc thực phẩm.</w:t>
      </w:r>
    </w:p>
    <w:p>
      <w:pPr>
        <w:spacing w:before="120" w:after="40"/>
      </w:pPr>
      <w:r>
        <w:rPr>
          <w:rFonts w:ascii="Arial" w:hAnsi="Arial"/>
          <w:b/>
          <w:sz w:val="23"/>
        </w:rPr>
        <w:t>Điều 10. Người mắc bệnh hoặc có vết thương</w:t>
      </w:r>
    </w:p>
    <w:p>
      <w:pPr>
        <w:pStyle w:val="ListBullet"/>
        <w:spacing w:after="20"/>
      </w:pPr>
      <w:r>
        <w:rPr>
          <w:rFonts w:ascii="Arial" w:hAnsi="Arial"/>
          <w:sz w:val="22"/>
        </w:rPr>
        <w:t>Người có vết thương hở ở tay phải băng kín bằng băng chống thấm và đeo găng; nếu không bảo đảm phải chuyển công việc khác.</w:t>
      </w:r>
    </w:p>
    <w:p>
      <w:pPr>
        <w:pStyle w:val="ListBullet"/>
        <w:spacing w:after="20"/>
      </w:pPr>
      <w:r>
        <w:rPr>
          <w:rFonts w:ascii="Arial" w:hAnsi="Arial"/>
          <w:sz w:val="22"/>
        </w:rPr>
        <w:t>Khi có dấu hiệu bệnh truyền nhiễm/tiêu hóa phải báo tổ trưởng và tạm ngừng tiếp xúc thực phẩm.</w:t>
      </w:r>
    </w:p>
    <w:p>
      <w:pPr>
        <w:spacing w:before="200" w:after="40"/>
        <w:jc w:val="center"/>
      </w:pPr>
      <w:r>
        <w:rPr>
          <w:rFonts w:ascii="Arial" w:hAnsi="Arial"/>
          <w:b/>
          <w:color w:val="1F4E78"/>
          <w:sz w:val="26"/>
        </w:rPr>
        <w:t>CHƯƠNG III — KIỂM SOÁT RA VÀO, KHÁCH VÀ NHÀ THẦU</w:t>
      </w:r>
    </w:p>
    <w:p>
      <w:pPr>
        <w:spacing w:before="120" w:after="40"/>
      </w:pPr>
      <w:r>
        <w:rPr>
          <w:rFonts w:ascii="Arial" w:hAnsi="Arial"/>
          <w:b/>
          <w:sz w:val="23"/>
        </w:rPr>
        <w:t>Điều 11. Ra vào khu vực sản xuất</w:t>
      </w:r>
    </w:p>
    <w:p>
      <w:pPr>
        <w:pStyle w:val="ListBullet"/>
        <w:spacing w:after="20"/>
      </w:pPr>
      <w:r>
        <w:rPr>
          <w:rFonts w:ascii="Arial" w:hAnsi="Arial"/>
          <w:sz w:val="22"/>
        </w:rPr>
        <w:t>Chỉ người có nhiệm vụ mới được vào khu sản xuất, qua khu thay đồ và rửa/khử trùng tay theo quy định.</w:t>
      </w:r>
    </w:p>
    <w:p>
      <w:pPr>
        <w:pStyle w:val="ListBullet"/>
        <w:spacing w:after="20"/>
      </w:pPr>
      <w:r>
        <w:rPr>
          <w:rFonts w:ascii="Arial" w:hAnsi="Arial"/>
          <w:sz w:val="22"/>
        </w:rPr>
        <w:t>Đi theo lối quy định, không tự ý di chuyển giữa các khu có nguy cơ nhiễm chéo.</w:t>
      </w:r>
    </w:p>
    <w:p>
      <w:pPr>
        <w:spacing w:before="120" w:after="40"/>
      </w:pPr>
      <w:r>
        <w:rPr>
          <w:rFonts w:ascii="Arial" w:hAnsi="Arial"/>
          <w:b/>
          <w:sz w:val="23"/>
        </w:rPr>
        <w:t>Điều 12. Khách, nhà thầu, đoàn kiểm tra</w:t>
      </w:r>
    </w:p>
    <w:p>
      <w:pPr>
        <w:pStyle w:val="ListBullet"/>
        <w:spacing w:after="20"/>
      </w:pPr>
      <w:r>
        <w:rPr>
          <w:rFonts w:ascii="Arial" w:hAnsi="Arial"/>
          <w:sz w:val="22"/>
        </w:rPr>
        <w:t>Khách/nhà thầu phải đăng ký, mặc BHLĐ cho khách, tuân thủ vệ sinh cá nhân và có người của Công ty hướng dẫn.</w:t>
      </w:r>
    </w:p>
    <w:p>
      <w:pPr>
        <w:pStyle w:val="ListBullet"/>
        <w:spacing w:after="20"/>
      </w:pPr>
      <w:r>
        <w:rPr>
          <w:rFonts w:ascii="Arial" w:hAnsi="Arial"/>
          <w:sz w:val="22"/>
        </w:rPr>
        <w:t>Nhà thầu sửa chữa phải kiểm soát dụng cụ, vật tư mang vào/ra (đếm trước–sau) để tránh thất lạc dị vật.</w:t>
      </w:r>
    </w:p>
    <w:p>
      <w:pPr>
        <w:spacing w:before="200" w:after="40"/>
        <w:jc w:val="center"/>
      </w:pPr>
      <w:r>
        <w:rPr>
          <w:rFonts w:ascii="Arial" w:hAnsi="Arial"/>
          <w:b/>
          <w:color w:val="1F4E78"/>
          <w:sz w:val="26"/>
        </w:rPr>
        <w:t>CHƯƠNG IV — VỆ SINH NHÀ XƯỞNG, THIẾT BỊ, DỤNG CỤ VÀ NƯỚC</w:t>
      </w:r>
    </w:p>
    <w:p>
      <w:pPr>
        <w:spacing w:before="120" w:after="40"/>
      </w:pPr>
      <w:r>
        <w:rPr>
          <w:rFonts w:ascii="Arial" w:hAnsi="Arial"/>
          <w:b/>
          <w:sz w:val="23"/>
        </w:rPr>
        <w:t>Điều 13. Vệ sinh – khử trùng</w:t>
      </w:r>
    </w:p>
    <w:p>
      <w:pPr>
        <w:pStyle w:val="ListBullet"/>
        <w:spacing w:after="20"/>
      </w:pPr>
      <w:r>
        <w:rPr>
          <w:rFonts w:ascii="Arial" w:hAnsi="Arial"/>
          <w:sz w:val="22"/>
        </w:rPr>
        <w:t>Vệ sinh, khử trùng nhà xưởng, thiết bị, dụng cụ vào đầu ca và cuối ca; vệ sinh định kỳ trần, quạt, đèn, tủ điện theo lịch.</w:t>
      </w:r>
    </w:p>
    <w:p>
      <w:pPr>
        <w:pStyle w:val="ListBullet"/>
        <w:spacing w:after="20"/>
      </w:pPr>
      <w:r>
        <w:rPr>
          <w:rFonts w:ascii="Arial" w:hAnsi="Arial"/>
          <w:sz w:val="22"/>
        </w:rPr>
        <w:t>Dụng cụ vệ sinh (chổi, giẻ, cây lau) phải để đúng nơi, phân biệt theo khu vực, không dùng lẫn giữa khu sạch và khu bẩn.</w:t>
      </w:r>
    </w:p>
    <w:p>
      <w:pPr>
        <w:spacing w:before="120" w:after="40"/>
      </w:pPr>
      <w:r>
        <w:rPr>
          <w:rFonts w:ascii="Arial" w:hAnsi="Arial"/>
          <w:b/>
          <w:sz w:val="23"/>
        </w:rPr>
        <w:t>Điều 14. Bề mặt tiếp xúc thực phẩm</w:t>
      </w:r>
    </w:p>
    <w:p>
      <w:pPr>
        <w:pStyle w:val="ListBullet"/>
        <w:spacing w:after="20"/>
      </w:pPr>
      <w:r>
        <w:rPr>
          <w:rFonts w:ascii="Arial" w:hAnsi="Arial"/>
          <w:sz w:val="22"/>
        </w:rPr>
        <w:t>Bề mặt, dụng cụ tiếp xúc sản phẩm phải sạch, khô, không gỉ, không bong tróc trước khi sử dụng.</w:t>
      </w:r>
    </w:p>
    <w:p>
      <w:pPr>
        <w:pStyle w:val="ListBullet"/>
        <w:spacing w:after="20"/>
      </w:pPr>
      <w:r>
        <w:rPr>
          <w:rFonts w:ascii="Arial" w:hAnsi="Arial"/>
          <w:sz w:val="22"/>
        </w:rPr>
        <w:t>Không dùng dụng cụ bằng thủy tinh hoặc nhựa giòn dễ vỡ tại khu sản xuất.</w:t>
      </w:r>
    </w:p>
    <w:p>
      <w:pPr>
        <w:spacing w:before="120" w:after="40"/>
      </w:pPr>
      <w:r>
        <w:rPr>
          <w:rFonts w:ascii="Arial" w:hAnsi="Arial"/>
          <w:b/>
          <w:sz w:val="23"/>
        </w:rPr>
        <w:t>Điều 15. Kiểm soát nước sản xuất</w:t>
      </w:r>
    </w:p>
    <w:p>
      <w:pPr>
        <w:pStyle w:val="ListBullet"/>
        <w:spacing w:after="20"/>
      </w:pPr>
      <w:r>
        <w:rPr>
          <w:rFonts w:ascii="Arial" w:hAnsi="Arial"/>
          <w:sz w:val="22"/>
        </w:rPr>
        <w:t>Nước sản xuất do nhà máy nước cấp trực tiếp tại vòi (không qua bể chứa), đạt QCVN 01-1:2018/BYT; nhà máy nước kiểm nghiệm định kỳ và chịu trách nhiệm chất lượng đến điểm giao.</w:t>
      </w:r>
    </w:p>
    <w:p>
      <w:pPr>
        <w:pStyle w:val="ListBullet"/>
        <w:spacing w:after="20"/>
      </w:pPr>
      <w:r>
        <w:rPr>
          <w:rFonts w:ascii="Arial" w:hAnsi="Arial"/>
          <w:sz w:val="22"/>
        </w:rPr>
        <w:t>Đầu ca, công nhân xả bỏ nước đầu vòi và kiểm tra cảm quan (màu/mùi/độ trong) trước khi tiếp xúc sản phẩm; chống chảy ngược (đầu vòi không nhúng ngập, không đấu nối nhầm đường nước).</w:t>
      </w:r>
    </w:p>
    <w:p>
      <w:pPr>
        <w:pStyle w:val="ListBullet"/>
        <w:spacing w:after="20"/>
      </w:pPr>
      <w:r>
        <w:rPr>
          <w:rFonts w:ascii="Arial" w:hAnsi="Arial"/>
          <w:sz w:val="22"/>
        </w:rPr>
        <w:t>Lưu kết quả kiểm nghiệm/CB hợp quy của nhà máy nước; Công ty tự kiểm nghiệm nước tại vòi định kỳ 6–12 tháng/lần (vi sinh trọng tâm: Coliform, E. coli) để xác nhận đường ống nội bộ. Ghi nhận vào Nhật ký vệ sinh (BM.VS.01).</w:t>
      </w:r>
    </w:p>
    <w:p>
      <w:pPr>
        <w:spacing w:before="200" w:after="40"/>
        <w:jc w:val="center"/>
      </w:pPr>
      <w:r>
        <w:rPr>
          <w:rFonts w:ascii="Arial" w:hAnsi="Arial"/>
          <w:b/>
          <w:color w:val="1F4E78"/>
          <w:sz w:val="26"/>
        </w:rPr>
        <w:t>CHƯƠNG V — KIỂM SOÁT MỐI NGUY TRONG SẢN XUẤT</w:t>
      </w:r>
    </w:p>
    <w:p>
      <w:pPr>
        <w:spacing w:before="120" w:after="40"/>
      </w:pPr>
      <w:r>
        <w:rPr>
          <w:rFonts w:ascii="Arial" w:hAnsi="Arial"/>
          <w:b/>
          <w:sz w:val="23"/>
        </w:rPr>
        <w:t>Điều 16. Tiếp nhận và bảo quản nguyên liệu</w:t>
      </w:r>
    </w:p>
    <w:p>
      <w:pPr>
        <w:pStyle w:val="ListBullet"/>
        <w:spacing w:after="20"/>
      </w:pPr>
      <w:r>
        <w:rPr>
          <w:rFonts w:ascii="Arial" w:hAnsi="Arial"/>
          <w:sz w:val="22"/>
        </w:rPr>
        <w:t>Chỉ nhận nguyên liệu từ nhà cung cấp đã được duyệt, có hồ sơ/COA; kiểm tra khi nhập theo quy định.</w:t>
      </w:r>
    </w:p>
    <w:p>
      <w:pPr>
        <w:pStyle w:val="ListBullet"/>
        <w:spacing w:after="20"/>
      </w:pPr>
      <w:r>
        <w:rPr>
          <w:rFonts w:ascii="Arial" w:hAnsi="Arial"/>
          <w:sz w:val="22"/>
        </w:rPr>
        <w:t>Đặc biệt với LẠC và các loại đậu: kiểm soát mốc và độc tố aflatoxin; không nhận lô nghi mốc hoặc thiếu hồ sơ.</w:t>
      </w:r>
    </w:p>
    <w:p>
      <w:pPr>
        <w:pStyle w:val="ListBullet"/>
        <w:spacing w:after="20"/>
      </w:pPr>
      <w:r>
        <w:rPr>
          <w:rFonts w:ascii="Arial" w:hAnsi="Arial"/>
          <w:sz w:val="22"/>
        </w:rPr>
        <w:t>Với SỮA BỘT và nguyên liệu bột: kiểm tra hồ sơ vi sinh, bảo quản nơi khô, kín, tránh ẩm.</w:t>
      </w:r>
    </w:p>
    <w:p>
      <w:pPr>
        <w:pStyle w:val="ListBullet"/>
        <w:spacing w:after="20"/>
      </w:pPr>
      <w:r>
        <w:rPr>
          <w:rFonts w:ascii="Arial" w:hAnsi="Arial"/>
          <w:sz w:val="22"/>
        </w:rPr>
        <w:t>Sắp xếp, sử dụng nguyên liệu theo nguyên tắc nhập trước – xuất trước / hết hạn trước – xuất trước (FIFO/FEFO); để cách tường, kê pallet, không để trực tiếp xuống nền.</w:t>
      </w:r>
    </w:p>
    <w:p>
      <w:pPr>
        <w:spacing w:before="120" w:after="40"/>
      </w:pPr>
      <w:r>
        <w:rPr>
          <w:rFonts w:ascii="Arial" w:hAnsi="Arial"/>
          <w:b/>
          <w:sz w:val="23"/>
        </w:rPr>
        <w:t>Điều 17. Kiểm soát dị vật, thủy tinh và nhựa giòn</w:t>
      </w:r>
    </w:p>
    <w:p>
      <w:pPr>
        <w:pStyle w:val="ListBullet"/>
        <w:spacing w:after="20"/>
      </w:pPr>
      <w:r>
        <w:rPr>
          <w:rFonts w:ascii="Arial" w:hAnsi="Arial"/>
          <w:sz w:val="22"/>
        </w:rPr>
        <w:t>Sàng/lọc nguyên liệu, kiểm tra lưới sàng, đầu dò (nếu có) đầu và cuối ca; nhặt loại tạp chất phát hiện.</w:t>
      </w:r>
    </w:p>
    <w:p>
      <w:pPr>
        <w:pStyle w:val="ListBullet"/>
        <w:spacing w:after="20"/>
      </w:pPr>
      <w:r>
        <w:rPr>
          <w:rFonts w:ascii="Arial" w:hAnsi="Arial"/>
          <w:sz w:val="22"/>
        </w:rPr>
        <w:t>Lập danh mục và kiểm tra định kỳ vật dễ vỡ (đèn, kính, đồng hồ…); khi vỡ phải cô lập ngay sản phẩm/lô bị ảnh hưởng và lập biên bản.</w:t>
      </w:r>
    </w:p>
    <w:p>
      <w:pPr>
        <w:spacing w:before="120" w:after="40"/>
      </w:pPr>
      <w:r>
        <w:rPr>
          <w:rFonts w:ascii="Arial" w:hAnsi="Arial"/>
          <w:b/>
          <w:sz w:val="23"/>
        </w:rPr>
        <w:t>Điều 18. Kiểm soát hóa chất</w:t>
      </w:r>
    </w:p>
    <w:p>
      <w:pPr>
        <w:pStyle w:val="ListBullet"/>
        <w:spacing w:after="20"/>
      </w:pPr>
      <w:r>
        <w:rPr>
          <w:rFonts w:ascii="Arial" w:hAnsi="Arial"/>
          <w:sz w:val="22"/>
        </w:rPr>
        <w:t>Hóa chất tẩy rửa, khử trùng, diệt côn trùng phải có nhãn, có phiếu an toàn (SDS), bảo quản tách biệt hoàn toàn khu vực thực phẩm và nguyên liệu.</w:t>
      </w:r>
    </w:p>
    <w:p>
      <w:pPr>
        <w:pStyle w:val="ListBullet"/>
        <w:spacing w:after="20"/>
      </w:pPr>
      <w:r>
        <w:rPr>
          <w:rFonts w:ascii="Arial" w:hAnsi="Arial"/>
          <w:sz w:val="22"/>
        </w:rPr>
        <w:t>Chỉ người được phân công mới pha và sử dụng hóa chất theo đúng hướng dẫn liều lượng.</w:t>
      </w:r>
    </w:p>
    <w:p>
      <w:pPr>
        <w:spacing w:before="120" w:after="40"/>
      </w:pPr>
      <w:r>
        <w:rPr>
          <w:rFonts w:ascii="Arial" w:hAnsi="Arial"/>
          <w:b/>
          <w:sz w:val="23"/>
        </w:rPr>
        <w:t>Điều 19. Kiểm soát động vật gây hại</w:t>
      </w:r>
    </w:p>
    <w:p>
      <w:pPr>
        <w:pStyle w:val="ListBullet"/>
        <w:spacing w:after="20"/>
      </w:pPr>
      <w:r>
        <w:rPr>
          <w:rFonts w:ascii="Arial" w:hAnsi="Arial"/>
          <w:sz w:val="22"/>
        </w:rPr>
        <w:t>Đóng kín cửa, lưới chắn côn trùng; đặt và theo dõi bẫy/đèn diệt côn trùng; diệt chuột định kỳ.</w:t>
      </w:r>
    </w:p>
    <w:p>
      <w:pPr>
        <w:pStyle w:val="ListBullet"/>
        <w:spacing w:after="20"/>
      </w:pPr>
      <w:r>
        <w:rPr>
          <w:rFonts w:ascii="Arial" w:hAnsi="Arial"/>
          <w:sz w:val="22"/>
        </w:rPr>
        <w:t>Không để thức ăn thừa, rác tồn đọng tạo điều kiện cho côn trùng, chuột.</w:t>
      </w:r>
    </w:p>
    <w:p>
      <w:pPr>
        <w:spacing w:before="120" w:after="40"/>
      </w:pPr>
      <w:r>
        <w:rPr>
          <w:rFonts w:ascii="Arial" w:hAnsi="Arial"/>
          <w:b/>
          <w:sz w:val="23"/>
        </w:rPr>
        <w:t>Điều 20. Quản lý chất thải</w:t>
      </w:r>
    </w:p>
    <w:p>
      <w:pPr>
        <w:pStyle w:val="ListBullet"/>
        <w:spacing w:after="20"/>
      </w:pPr>
      <w:r>
        <w:rPr>
          <w:rFonts w:ascii="Arial" w:hAnsi="Arial"/>
          <w:sz w:val="22"/>
        </w:rPr>
        <w:t>Thu gom rác, phế phẩm trong và sau sản xuất; thùng rác có nắp, phân loại, đổ đúng nơi quy định, không để tràn.</w:t>
      </w:r>
    </w:p>
    <w:p>
      <w:pPr>
        <w:spacing w:before="120" w:after="40"/>
      </w:pPr>
      <w:r>
        <w:rPr>
          <w:rFonts w:ascii="Arial" w:hAnsi="Arial"/>
          <w:b/>
          <w:sz w:val="23"/>
        </w:rPr>
        <w:t>Điều 21. Bao gói, ghi nhãn và lưu mẫu</w:t>
      </w:r>
    </w:p>
    <w:p>
      <w:pPr>
        <w:pStyle w:val="ListBullet"/>
        <w:spacing w:after="20"/>
      </w:pPr>
      <w:r>
        <w:rPr>
          <w:rFonts w:ascii="Arial" w:hAnsi="Arial"/>
          <w:sz w:val="22"/>
        </w:rPr>
        <w:t>Kiểm tra độ kín mối hàn bao gói theo quy định; nhãn phải đúng phiên bản đã duyệt, đúng sản phẩm, rõ ngày sản xuất/hạn dùng.</w:t>
      </w:r>
    </w:p>
    <w:p>
      <w:pPr>
        <w:pStyle w:val="ListBullet"/>
        <w:spacing w:after="20"/>
      </w:pPr>
      <w:r>
        <w:rPr>
          <w:rFonts w:ascii="Arial" w:hAnsi="Arial"/>
          <w:sz w:val="22"/>
        </w:rPr>
        <w:t>Lưu mẫu mỗi lô theo Quy định lưu mẫu để truy xuất khi cần.</w:t>
      </w:r>
    </w:p>
    <w:p>
      <w:pPr>
        <w:spacing w:before="120" w:after="40"/>
      </w:pPr>
      <w:r>
        <w:rPr>
          <w:rFonts w:ascii="Arial" w:hAnsi="Arial"/>
          <w:b/>
          <w:sz w:val="23"/>
        </w:rPr>
        <w:t>Điều 22. Kiểm soát phụ gia, phẩm màu</w:t>
      </w:r>
    </w:p>
    <w:p>
      <w:pPr>
        <w:pStyle w:val="ListBullet"/>
        <w:spacing w:after="20"/>
      </w:pPr>
      <w:r>
        <w:rPr>
          <w:rFonts w:ascii="Arial" w:hAnsi="Arial"/>
          <w:sz w:val="22"/>
        </w:rPr>
        <w:t>Chỉ dùng phụ gia, phẩm màu trong danh mục được phép, đúng đối tượng và KHÔNG vượt mức tối đa theo Thông tư 24/2019/TT-BYT (Bảng định mức BM.PG.01); lưu COA từng lô.</w:t>
      </w:r>
    </w:p>
    <w:p>
      <w:pPr>
        <w:spacing w:before="200" w:after="40"/>
        <w:jc w:val="center"/>
      </w:pPr>
      <w:r>
        <w:rPr>
          <w:rFonts w:ascii="Arial" w:hAnsi="Arial"/>
          <w:b/>
          <w:color w:val="1F4E78"/>
          <w:sz w:val="26"/>
        </w:rPr>
        <w:t>CHƯƠNG VI — TỔ CHỨC THỰC HIỆN, GIÁM SÁT VÀ XỬ LÝ VI PHẠM</w:t>
      </w:r>
    </w:p>
    <w:p>
      <w:pPr>
        <w:spacing w:before="120" w:after="40"/>
      </w:pPr>
      <w:r>
        <w:rPr>
          <w:rFonts w:ascii="Arial" w:hAnsi="Arial"/>
          <w:b/>
          <w:sz w:val="23"/>
        </w:rPr>
        <w:t>Điều 23. Trách nhiệm thực hiện</w:t>
      </w:r>
    </w:p>
    <w:p>
      <w:pPr>
        <w:pStyle w:val="ListBullet"/>
        <w:spacing w:after="20"/>
      </w:pPr>
      <w:r>
        <w:rPr>
          <w:rFonts w:ascii="Arial" w:hAnsi="Arial"/>
          <w:sz w:val="22"/>
        </w:rPr>
        <w:t>Mọi người lao động có trách nhiệm tuân thủ nội quy và nhắc nhở đồng nghiệp cùng thực hiện.</w:t>
      </w:r>
    </w:p>
    <w:p>
      <w:pPr>
        <w:pStyle w:val="ListBullet"/>
        <w:spacing w:after="20"/>
      </w:pPr>
      <w:r>
        <w:rPr>
          <w:rFonts w:ascii="Arial" w:hAnsi="Arial"/>
          <w:sz w:val="22"/>
        </w:rPr>
        <w:t>Tổ trưởng/Quản đốc: phổ biến, đôn đốc, kiểm tra hằng ngày tại bộ phận mình.</w:t>
      </w:r>
    </w:p>
    <w:p>
      <w:pPr>
        <w:pStyle w:val="ListBullet"/>
        <w:spacing w:after="20"/>
      </w:pPr>
      <w:r>
        <w:rPr>
          <w:rFonts w:ascii="Arial" w:hAnsi="Arial"/>
          <w:sz w:val="22"/>
        </w:rPr>
        <w:t>KCS: giám sát vệ sinh, kiểm tra trong quá trình sản xuất, ghi nhận và báo cáo vi phạm.</w:t>
      </w:r>
    </w:p>
    <w:p>
      <w:pPr>
        <w:pStyle w:val="ListBullet"/>
        <w:spacing w:after="20"/>
      </w:pPr>
      <w:r>
        <w:rPr>
          <w:rFonts w:ascii="Arial" w:hAnsi="Arial"/>
          <w:sz w:val="22"/>
        </w:rPr>
        <w:t>Ban ISO/Đội ATTP: theo dõi tổng thể, tổng hợp, đề xuất khắc phục và cải tiến.</w:t>
      </w:r>
    </w:p>
    <w:p>
      <w:pPr>
        <w:pStyle w:val="ListBullet"/>
        <w:spacing w:after="20"/>
      </w:pPr>
      <w:r>
        <w:rPr>
          <w:rFonts w:ascii="Arial" w:hAnsi="Arial"/>
          <w:sz w:val="22"/>
        </w:rPr>
        <w:t>Ban lãnh đạo: bảo đảm nguồn lực và phê duyệt khen thưởng, xử lý vi phạm.</w:t>
      </w:r>
    </w:p>
    <w:p>
      <w:pPr>
        <w:spacing w:before="120" w:after="40"/>
      </w:pPr>
      <w:r>
        <w:rPr>
          <w:rFonts w:ascii="Arial" w:hAnsi="Arial"/>
          <w:b/>
          <w:sz w:val="23"/>
        </w:rPr>
        <w:t>Điều 24. Giám sát và ghi chép hồ sơ</w:t>
      </w:r>
    </w:p>
    <w:p>
      <w:pPr>
        <w:spacing w:after="40"/>
      </w:pPr>
      <w:r>
        <w:rPr>
          <w:rFonts w:ascii="Arial" w:hAnsi="Arial"/>
          <w:sz w:val="22"/>
        </w:rPr>
        <w:t>Việc tuân thủ nội quy được giám sát hằng ngày/định kỳ và GHI NHẬN bằng các biểu mẫu:</w:t>
      </w:r>
    </w:p>
    <w:p>
      <w:pPr>
        <w:pStyle w:val="ListBullet"/>
        <w:spacing w:after="20"/>
      </w:pPr>
      <w:r>
        <w:rPr>
          <w:rFonts w:ascii="Arial" w:hAnsi="Arial"/>
          <w:sz w:val="22"/>
        </w:rPr>
        <w:t>Nhật ký vệ sinh hằng ngày (BM.VS.01) — vệ sinh cá nhân, bề mặt/thiết bị, khu vực, chất thải.</w:t>
      </w:r>
    </w:p>
    <w:p>
      <w:pPr>
        <w:pStyle w:val="ListBullet"/>
        <w:spacing w:after="20"/>
      </w:pPr>
      <w:r>
        <w:rPr>
          <w:rFonts w:ascii="Arial" w:hAnsi="Arial"/>
          <w:sz w:val="22"/>
        </w:rPr>
        <w:t>Báo cáo vệ sinh định kỳ (BM.VS.02) — diệt côn trùng/chuột, vệ sinh định kỳ.</w:t>
      </w:r>
    </w:p>
    <w:p>
      <w:pPr>
        <w:pStyle w:val="ListBullet"/>
        <w:spacing w:after="20"/>
      </w:pPr>
      <w:r>
        <w:rPr>
          <w:rFonts w:ascii="Arial" w:hAnsi="Arial"/>
          <w:sz w:val="22"/>
        </w:rPr>
        <w:t>Sổ kiểm tra dị vật/lưới sàng/đầu dò (BM.10.01); danh mục &amp; kiểm tra thủy tinh–nhựa giòn (BM.10.02).</w:t>
      </w:r>
    </w:p>
    <w:p>
      <w:pPr>
        <w:pStyle w:val="ListBullet"/>
        <w:spacing w:after="20"/>
      </w:pPr>
      <w:r>
        <w:rPr>
          <w:rFonts w:ascii="Arial" w:hAnsi="Arial"/>
          <w:sz w:val="22"/>
        </w:rPr>
        <w:t>Sổ kiểm tra chất lượng hàng nhập (BM.07.03); sổ kiểm tra thành phẩm (BM.08.03); sổ giám sát OPRP (BM.08.02).</w:t>
      </w:r>
    </w:p>
    <w:p>
      <w:pPr>
        <w:pStyle w:val="ListBullet"/>
        <w:spacing w:after="20"/>
      </w:pPr>
      <w:r>
        <w:rPr>
          <w:rFonts w:ascii="Arial" w:hAnsi="Arial"/>
          <w:sz w:val="22"/>
        </w:rPr>
        <w:t>Khi phát hiện không đạt: ghi nhận, yêu cầu khắc phục ngay; trường hợp lặp lại hoặc nghiêm trọng lập Phiếu HĐKP (BM.01.07).</w:t>
      </w:r>
    </w:p>
    <w:p>
      <w:pPr>
        <w:spacing w:before="120" w:after="40"/>
      </w:pPr>
      <w:r>
        <w:rPr>
          <w:rFonts w:ascii="Arial" w:hAnsi="Arial"/>
          <w:b/>
          <w:sz w:val="23"/>
        </w:rPr>
        <w:t>Điều 25. Khen thưởng</w:t>
      </w:r>
    </w:p>
    <w:p>
      <w:pPr>
        <w:pStyle w:val="ListBullet"/>
        <w:spacing w:after="20"/>
      </w:pPr>
      <w:r>
        <w:rPr>
          <w:rFonts w:ascii="Arial" w:hAnsi="Arial"/>
          <w:sz w:val="22"/>
        </w:rPr>
        <w:t>Cá nhân, bộ phận tuân thủ tốt, phát hiện và ngăn ngừa nguy cơ được biểu dương, khen thưởng theo quy chế Công ty.</w:t>
      </w:r>
    </w:p>
    <w:p>
      <w:pPr>
        <w:spacing w:before="120" w:after="40"/>
      </w:pPr>
      <w:r>
        <w:rPr>
          <w:rFonts w:ascii="Arial" w:hAnsi="Arial"/>
          <w:b/>
          <w:sz w:val="23"/>
        </w:rPr>
        <w:t>Điều 26. Xử lý vi phạm</w:t>
      </w:r>
    </w:p>
    <w:p>
      <w:pPr>
        <w:pStyle w:val="ListBullet"/>
        <w:spacing w:after="20"/>
      </w:pPr>
      <w:r>
        <w:rPr>
          <w:rFonts w:ascii="Arial" w:hAnsi="Arial"/>
          <w:sz w:val="22"/>
        </w:rPr>
        <w:t>Mức 1 (nhắc nhở): vi phạm lần đầu, mức nhẹ (quên mũ/khẩu trang, trang sức…) — nhắc nhở, khắc phục ngay tại chỗ.</w:t>
      </w:r>
    </w:p>
    <w:p>
      <w:pPr>
        <w:pStyle w:val="ListBullet"/>
        <w:spacing w:after="20"/>
      </w:pPr>
      <w:r>
        <w:rPr>
          <w:rFonts w:ascii="Arial" w:hAnsi="Arial"/>
          <w:sz w:val="22"/>
        </w:rPr>
        <w:t>Mức 2 (lập biên bản/phê bình): tái phạm hoặc vi phạm ảnh hưởng vệ sinh (không rửa tay, ăn uống trong khu SX…).</w:t>
      </w:r>
    </w:p>
    <w:p>
      <w:pPr>
        <w:pStyle w:val="ListBullet"/>
        <w:spacing w:after="20"/>
      </w:pPr>
      <w:r>
        <w:rPr>
          <w:rFonts w:ascii="Arial" w:hAnsi="Arial"/>
          <w:sz w:val="22"/>
        </w:rPr>
        <w:t>Mức 3 (kỷ luật): vi phạm nhiều lần hoặc gây nguy cơ mất an toàn thực phẩm, che giấu sự cố — xử lý theo nội quy lao động và quy định của Công ty.</w:t>
      </w:r>
    </w:p>
    <w:p>
      <w:pPr>
        <w:pStyle w:val="ListBullet"/>
        <w:spacing w:after="20"/>
      </w:pPr>
      <w:r>
        <w:rPr>
          <w:rFonts w:ascii="Arial" w:hAnsi="Arial"/>
          <w:sz w:val="22"/>
        </w:rPr>
        <w:t>Mọi vi phạm gây mất an toàn thực phẩm phải được điều tra nguyên nhân và thực hiện hành động khắc phục, phòng ngừa.</w:t>
      </w:r>
    </w:p>
    <w:p>
      <w:pPr>
        <w:spacing w:before="120" w:after="40"/>
      </w:pPr>
      <w:r>
        <w:rPr>
          <w:rFonts w:ascii="Arial" w:hAnsi="Arial"/>
          <w:b/>
          <w:sz w:val="23"/>
        </w:rPr>
        <w:t>Điều 27. Hiệu lực thi hành</w:t>
      </w:r>
    </w:p>
    <w:p>
      <w:pPr>
        <w:pStyle w:val="ListBullet"/>
        <w:spacing w:after="20"/>
      </w:pPr>
      <w:r>
        <w:rPr>
          <w:rFonts w:ascii="Arial" w:hAnsi="Arial"/>
          <w:sz w:val="22"/>
        </w:rPr>
        <w:t>Nội quy này có hiệu lực kể từ ngày ký ban hành; được niêm yết tại khu vực sản xuất và phổ biến đến toàn thể người lao động.</w:t>
      </w:r>
    </w:p>
    <w:p>
      <w:pPr>
        <w:pStyle w:val="ListBullet"/>
        <w:spacing w:after="20"/>
      </w:pPr>
      <w:r>
        <w:rPr>
          <w:rFonts w:ascii="Arial" w:hAnsi="Arial"/>
          <w:sz w:val="22"/>
        </w:rPr>
        <w:t>Ban ISO chịu trách nhiệm rà soát, cập nhật nội quy khi có thay đổi quy định pháp luật hoặc hệ thống quản lý.</w:t>
      </w:r>
    </w:p>
    <w:p/>
    <w:p>
      <w:pPr>
        <w:jc w:val="right"/>
      </w:pPr>
      <w:r>
        <w:rPr>
          <w:rFonts w:ascii="Arial" w:hAnsi="Arial"/>
          <w:i/>
          <w:sz w:val="22"/>
        </w:rPr>
        <w:t>Hải Dương, ngày …… tháng …… năm ………</w:t>
      </w:r>
    </w:p>
    <w:tbl>
      <w:tblPr>
        <w:tblW w:type="auto" w:w="0"/>
        <w:tblLook w:firstColumn="1" w:firstRow="1" w:lastColumn="0" w:lastRow="0" w:noHBand="0" w:noVBand="1" w:val="04A0"/>
      </w:tblPr>
      <w:tblGrid>
        <w:gridCol w:w="4986"/>
        <w:gridCol w:w="4986"/>
      </w:tblGrid>
      <w:tr>
        <w:tc>
          <w:tcPr>
            <w:tcW w:type="dxa" w:w="4986"/>
          </w:tcPr>
          <w:p>
            <w:pPr>
              <w:jc w:val="center"/>
            </w:pPr>
            <w:r>
              <w:rPr>
                <w:rFonts w:ascii="Arial" w:hAnsi="Arial"/>
                <w:b/>
                <w:sz w:val="22"/>
              </w:rPr>
              <w:t>NGƯỜI SOẠN THẢO</w:t>
            </w:r>
          </w:p>
        </w:tc>
        <w:tc>
          <w:tcPr>
            <w:tcW w:type="dxa" w:w="4986"/>
          </w:tcPr>
          <w:p>
            <w:pPr>
              <w:jc w:val="center"/>
            </w:pPr>
            <w:r>
              <w:rPr>
                <w:rFonts w:ascii="Arial" w:hAnsi="Arial"/>
                <w:b/>
                <w:sz w:val="22"/>
              </w:rPr>
              <w:t>GIÁM ĐỐC (PHÊ DUYỆT)</w:t>
            </w:r>
          </w:p>
        </w:tc>
      </w:tr>
      <w:tr>
        <w:tc>
          <w:tcPr>
            <w:tcW w:type="dxa" w:w="4986"/>
          </w:tcPr>
          <w:p>
            <w:pPr>
              <w:jc w:val="center"/>
            </w:pPr>
            <w:r>
              <w:rPr>
                <w:rFonts w:ascii="Arial" w:hAnsi="Arial"/>
                <w:b/>
                <w:sz w:val="22"/>
              </w:rPr>
              <w:br/>
              <w:br/>
              <w:br/>
              <w:t>Nguyễn Huy Chiến</w:t>
            </w:r>
          </w:p>
        </w:tc>
        <w:tc>
          <w:tcPr>
            <w:tcW w:type="dxa" w:w="4986"/>
          </w:tcPr>
          <w:p>
            <w:pPr>
              <w:jc w:val="center"/>
            </w:pPr>
            <w:r>
              <w:rPr>
                <w:rFonts w:ascii="Arial" w:hAnsi="Arial"/>
                <w:b/>
                <w:sz w:val="22"/>
              </w:rPr>
              <w:br/>
              <w:br/>
              <w:br/>
              <w:t>Đào Văn Tiến</w:t>
            </w:r>
          </w:p>
        </w:tc>
      </w:tr>
    </w:tbl>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8"/>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