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CÔNG TY CỔ PHẦN</w:t>
            </w:r>
          </w:p>
          <w:p>
            <w:pPr>
              <w:jc w:val="center"/>
            </w:pPr>
            <w:r>
              <w:rPr>
                <w:rFonts w:ascii="Times New Roman" w:cs="Times New Roman" w:eastAsia="Times New Roman" w:hAnsi="Times New Roman"/>
                <w:b/>
                <w:bCs/>
                <w:sz w:val="22"/>
                <w:szCs w:val="22"/>
              </w:rPr>
              <w:t xml:space="preserve">HOÀNG GIANG</w:t>
            </w:r>
          </w:p>
        </w:tc>
        <w:tc>
          <w:tcPr>
            <w:tcW w:type="dxa" w:w="312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bCs/>
                <w:sz w:val="26"/>
                <w:szCs w:val="26"/>
              </w:rPr>
              <w:t xml:space="preserve">QUY TRÌNH</w:t>
            </w:r>
          </w:p>
          <w:p>
            <w:pPr>
              <w:jc w:val="center"/>
            </w:pPr>
            <w:r>
              <w:rPr>
                <w:rFonts w:ascii="Times New Roman" w:cs="Times New Roman" w:eastAsia="Times New Roman" w:hAnsi="Times New Roman"/>
                <w:b/>
                <w:bCs/>
                <w:sz w:val="26"/>
                <w:szCs w:val="26"/>
              </w:rPr>
              <w:t xml:space="preserve">TRUY XUẤT NGUỒN GỐC</w:t>
            </w:r>
          </w:p>
        </w:tc>
        <w:tc>
          <w:tcPr>
            <w:tcW w:type="dxa" w:w="312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sz w:val="20"/>
                <w:szCs w:val="20"/>
              </w:rPr>
              <w:t xml:space="preserve">Mã số: QT 09</w:t>
            </w:r>
          </w:p>
          <w:p>
            <w:pPr>
              <w:jc w:val="left"/>
            </w:pPr>
            <w:r>
              <w:rPr>
                <w:rFonts w:ascii="Times New Roman" w:cs="Times New Roman" w:eastAsia="Times New Roman" w:hAnsi="Times New Roman"/>
                <w:sz w:val="20"/>
                <w:szCs w:val="20"/>
              </w:rPr>
              <w:t xml:space="preserve">Lần ban hành: 01</w:t>
            </w:r>
          </w:p>
          <w:p>
            <w:pPr>
              <w:jc w:val="left"/>
            </w:pPr>
            <w:r>
              <w:rPr>
                <w:rFonts w:ascii="Times New Roman" w:cs="Times New Roman" w:eastAsia="Times New Roman" w:hAnsi="Times New Roman"/>
                <w:sz w:val="20"/>
                <w:szCs w:val="20"/>
              </w:rPr>
              <w:t xml:space="preserve">Ngày hiệu lực:    /    /20…</w:t>
            </w:r>
          </w:p>
          <w:p>
            <w:pPr>
              <w:jc w:val="left"/>
            </w:pPr>
            <w:r>
              <w:rPr>
                <w:rFonts w:ascii="Times New Roman" w:cs="Times New Roman" w:eastAsia="Times New Roman" w:hAnsi="Times New Roman"/>
                <w:sz w:val="20"/>
                <w:szCs w:val="20"/>
              </w:rPr>
              <w:t xml:space="preserve">Trang:   /  </w:t>
            </w:r>
          </w:p>
        </w:tc>
      </w:tr>
    </w:tbl>
    <w:p>
      <w:pPr>
        <w:spacing w:after="60" w:before="60" w:line="320"/>
        <w:jc w:val="both"/>
      </w:pPr>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000000" w:sz="4"/>
              <w:left w:val="single" w:color="000000" w:sz="4"/>
              <w:bottom w:val="single" w:color="000000" w:sz="4"/>
              <w:right w:val="single" w:color="000000" w:sz="4"/>
            </w:tcBorders>
            <w:shd w:fill="D9E2F3"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Soạn thảo</w:t>
            </w:r>
          </w:p>
        </w:tc>
        <w:tc>
          <w:tcPr>
            <w:tcW w:type="dxa" w:w="3120"/>
            <w:tcBorders>
              <w:top w:val="single" w:color="000000" w:sz="4"/>
              <w:left w:val="single" w:color="000000" w:sz="4"/>
              <w:bottom w:val="single" w:color="000000" w:sz="4"/>
              <w:right w:val="single" w:color="000000" w:sz="4"/>
            </w:tcBorders>
            <w:shd w:fill="D9E2F3"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Xem xét</w:t>
            </w:r>
          </w:p>
        </w:tc>
        <w:tc>
          <w:tcPr>
            <w:tcW w:type="dxa" w:w="3120"/>
            <w:tcBorders>
              <w:top w:val="single" w:color="000000" w:sz="4"/>
              <w:left w:val="single" w:color="000000" w:sz="4"/>
              <w:bottom w:val="single" w:color="000000" w:sz="4"/>
              <w:right w:val="single" w:color="000000" w:sz="4"/>
            </w:tcBorders>
            <w:shd w:fill="D9E2F3"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Phê duyệt</w:t>
            </w:r>
          </w:p>
        </w:tc>
      </w:tr>
      <w:tr>
        <w:tc>
          <w:tcPr>
            <w:tcW w:type="dxa" w:w="312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 </w:t>
            </w:r>
          </w:p>
          <w:p>
            <w:pPr>
              <w:jc w:val="center"/>
            </w:pPr>
            <w:r>
              <w:rPr>
                <w:rFonts w:ascii="Times New Roman" w:cs="Times New Roman" w:eastAsia="Times New Roman" w:hAnsi="Times New Roman"/>
                <w:sz w:val="22"/>
                <w:szCs w:val="22"/>
              </w:rPr>
              <w:t xml:space="preserve"> </w:t>
            </w:r>
          </w:p>
          <w:p>
            <w:pPr>
              <w:jc w:val="center"/>
            </w:pPr>
            <w:r>
              <w:rPr>
                <w:rFonts w:ascii="Times New Roman" w:cs="Times New Roman" w:eastAsia="Times New Roman" w:hAnsi="Times New Roman"/>
                <w:sz w:val="22"/>
                <w:szCs w:val="22"/>
              </w:rPr>
              <w:t xml:space="preserve"> </w:t>
            </w:r>
          </w:p>
          <w:p>
            <w:pPr>
              <w:jc w:val="center"/>
            </w:pPr>
            <w:r>
              <w:rPr>
                <w:rFonts w:ascii="Times New Roman" w:cs="Times New Roman" w:eastAsia="Times New Roman" w:hAnsi="Times New Roman"/>
                <w:sz w:val="22"/>
                <w:szCs w:val="22"/>
              </w:rPr>
              <w:t xml:space="preserve"> </w:t>
            </w:r>
          </w:p>
          <w:p>
            <w:pPr>
              <w:jc w:val="center"/>
            </w:pPr>
            <w:r>
              <w:rPr>
                <w:rFonts w:ascii="Times New Roman" w:cs="Times New Roman" w:eastAsia="Times New Roman" w:hAnsi="Times New Roman"/>
                <w:sz w:val="22"/>
                <w:szCs w:val="22"/>
              </w:rPr>
              <w:t xml:space="preserve"> </w:t>
            </w:r>
          </w:p>
        </w:tc>
        <w:tc>
          <w:tcPr>
            <w:tcW w:type="dxa" w:w="312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 </w:t>
            </w:r>
          </w:p>
          <w:p>
            <w:pPr>
              <w:jc w:val="center"/>
            </w:pPr>
            <w:r>
              <w:rPr>
                <w:rFonts w:ascii="Times New Roman" w:cs="Times New Roman" w:eastAsia="Times New Roman" w:hAnsi="Times New Roman"/>
                <w:sz w:val="22"/>
                <w:szCs w:val="22"/>
              </w:rPr>
              <w:t xml:space="preserve"> </w:t>
            </w:r>
          </w:p>
          <w:p>
            <w:pPr>
              <w:jc w:val="center"/>
            </w:pPr>
            <w:r>
              <w:rPr>
                <w:rFonts w:ascii="Times New Roman" w:cs="Times New Roman" w:eastAsia="Times New Roman" w:hAnsi="Times New Roman"/>
                <w:sz w:val="22"/>
                <w:szCs w:val="22"/>
              </w:rPr>
              <w:t xml:space="preserve"> </w:t>
            </w:r>
          </w:p>
          <w:p>
            <w:pPr>
              <w:jc w:val="center"/>
            </w:pPr>
            <w:r>
              <w:rPr>
                <w:rFonts w:ascii="Times New Roman" w:cs="Times New Roman" w:eastAsia="Times New Roman" w:hAnsi="Times New Roman"/>
                <w:sz w:val="22"/>
                <w:szCs w:val="22"/>
              </w:rPr>
              <w:t xml:space="preserve"> </w:t>
            </w:r>
          </w:p>
          <w:p>
            <w:pPr>
              <w:jc w:val="center"/>
            </w:pPr>
            <w:r>
              <w:rPr>
                <w:rFonts w:ascii="Times New Roman" w:cs="Times New Roman" w:eastAsia="Times New Roman" w:hAnsi="Times New Roman"/>
                <w:sz w:val="22"/>
                <w:szCs w:val="22"/>
              </w:rPr>
              <w:t xml:space="preserve"> </w:t>
            </w:r>
          </w:p>
        </w:tc>
        <w:tc>
          <w:tcPr>
            <w:tcW w:type="dxa" w:w="312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 </w:t>
            </w:r>
          </w:p>
          <w:p>
            <w:pPr>
              <w:jc w:val="center"/>
            </w:pPr>
            <w:r>
              <w:rPr>
                <w:rFonts w:ascii="Times New Roman" w:cs="Times New Roman" w:eastAsia="Times New Roman" w:hAnsi="Times New Roman"/>
                <w:sz w:val="22"/>
                <w:szCs w:val="22"/>
              </w:rPr>
              <w:t xml:space="preserve"> </w:t>
            </w:r>
          </w:p>
          <w:p>
            <w:pPr>
              <w:jc w:val="center"/>
            </w:pPr>
            <w:r>
              <w:rPr>
                <w:rFonts w:ascii="Times New Roman" w:cs="Times New Roman" w:eastAsia="Times New Roman" w:hAnsi="Times New Roman"/>
                <w:sz w:val="22"/>
                <w:szCs w:val="22"/>
              </w:rPr>
              <w:t xml:space="preserve"> </w:t>
            </w:r>
          </w:p>
          <w:p>
            <w:pPr>
              <w:jc w:val="center"/>
            </w:pPr>
            <w:r>
              <w:rPr>
                <w:rFonts w:ascii="Times New Roman" w:cs="Times New Roman" w:eastAsia="Times New Roman" w:hAnsi="Times New Roman"/>
                <w:sz w:val="22"/>
                <w:szCs w:val="22"/>
              </w:rPr>
              <w:t xml:space="preserve"> </w:t>
            </w:r>
          </w:p>
          <w:p>
            <w:pPr>
              <w:jc w:val="center"/>
            </w:pPr>
            <w:r>
              <w:rPr>
                <w:rFonts w:ascii="Times New Roman" w:cs="Times New Roman" w:eastAsia="Times New Roman" w:hAnsi="Times New Roman"/>
                <w:sz w:val="22"/>
                <w:szCs w:val="22"/>
              </w:rPr>
              <w:t xml:space="preserve"> </w:t>
            </w:r>
          </w:p>
        </w:tc>
      </w:tr>
    </w:tbl>
    <w:p>
      <w:pPr>
        <w:spacing w:after="60" w:before="60" w:line="320"/>
        <w:jc w:val="both"/>
      </w:pPr>
      <w:r>
        <w:rPr>
          <w:rFonts w:ascii="Times New Roman" w:cs="Times New Roman" w:eastAsia="Times New Roman" w:hAnsi="Times New Roman"/>
          <w:sz w:val="24"/>
          <w:szCs w:val="24"/>
        </w:rPr>
        <w:t xml:space="preserve"/>
      </w:r>
    </w:p>
    <w:p>
      <w:pPr>
        <w:spacing w:after="60" w:before="60" w:line="320"/>
        <w:jc w:val="center"/>
      </w:pPr>
      <w:r>
        <w:rPr>
          <w:rFonts w:ascii="Times New Roman" w:cs="Times New Roman" w:eastAsia="Times New Roman" w:hAnsi="Times New Roman"/>
          <w:b/>
          <w:bCs/>
          <w:sz w:val="26"/>
          <w:szCs w:val="26"/>
        </w:rPr>
        <w:t xml:space="preserve">BẢNG THEO DÕI SỬA ĐỔI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1300"/>
        <w:gridCol w:w="3700"/>
        <w:gridCol w:w="1200"/>
        <w:gridCol w:w="1180"/>
        <w:gridCol w:w="1200"/>
      </w:tblGrid>
      <w:tr>
        <w:tc>
          <w:tcPr>
            <w:tcW w:type="dxa" w:w="780"/>
            <w:tcBorders>
              <w:top w:val="single" w:color="000000" w:sz="4"/>
              <w:left w:val="single" w:color="000000" w:sz="4"/>
              <w:bottom w:val="single" w:color="000000" w:sz="4"/>
              <w:right w:val="single" w:color="000000" w:sz="4"/>
            </w:tcBorders>
            <w:shd w:fill="D9E2F3"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Số lần</w:t>
            </w:r>
          </w:p>
        </w:tc>
        <w:tc>
          <w:tcPr>
            <w:tcW w:type="dxa" w:w="1300"/>
            <w:tcBorders>
              <w:top w:val="single" w:color="000000" w:sz="4"/>
              <w:left w:val="single" w:color="000000" w:sz="4"/>
              <w:bottom w:val="single" w:color="000000" w:sz="4"/>
              <w:right w:val="single" w:color="000000" w:sz="4"/>
            </w:tcBorders>
            <w:shd w:fill="D9E2F3"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Ngày</w:t>
            </w:r>
          </w:p>
        </w:tc>
        <w:tc>
          <w:tcPr>
            <w:tcW w:type="dxa" w:w="3700"/>
            <w:tcBorders>
              <w:top w:val="single" w:color="000000" w:sz="4"/>
              <w:left w:val="single" w:color="000000" w:sz="4"/>
              <w:bottom w:val="single" w:color="000000" w:sz="4"/>
              <w:right w:val="single" w:color="000000" w:sz="4"/>
            </w:tcBorders>
            <w:shd w:fill="D9E2F3"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Nội dung sửa đổi</w:t>
            </w:r>
          </w:p>
        </w:tc>
        <w:tc>
          <w:tcPr>
            <w:tcW w:type="dxa" w:w="1200"/>
            <w:tcBorders>
              <w:top w:val="single" w:color="000000" w:sz="4"/>
              <w:left w:val="single" w:color="000000" w:sz="4"/>
              <w:bottom w:val="single" w:color="000000" w:sz="4"/>
              <w:right w:val="single" w:color="000000" w:sz="4"/>
            </w:tcBorders>
            <w:shd w:fill="D9E2F3"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Phê duyệt</w:t>
            </w:r>
          </w:p>
        </w:tc>
        <w:tc>
          <w:tcPr>
            <w:tcW w:type="dxa" w:w="1180"/>
            <w:tcBorders>
              <w:top w:val="single" w:color="000000" w:sz="4"/>
              <w:left w:val="single" w:color="000000" w:sz="4"/>
              <w:bottom w:val="single" w:color="000000" w:sz="4"/>
              <w:right w:val="single" w:color="000000" w:sz="4"/>
            </w:tcBorders>
            <w:shd w:fill="D9E2F3"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Xem xét</w:t>
            </w:r>
          </w:p>
        </w:tc>
        <w:tc>
          <w:tcPr>
            <w:tcW w:type="dxa" w:w="1200"/>
            <w:tcBorders>
              <w:top w:val="single" w:color="000000" w:sz="4"/>
              <w:left w:val="single" w:color="000000" w:sz="4"/>
              <w:bottom w:val="single" w:color="000000" w:sz="4"/>
              <w:right w:val="single" w:color="000000" w:sz="4"/>
            </w:tcBorders>
            <w:shd w:fill="D9E2F3"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Soạn thảo</w:t>
            </w:r>
          </w:p>
        </w:tc>
      </w:tr>
      <w:tr>
        <w:tc>
          <w:tcPr>
            <w:tcW w:type="dxa" w:w="78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 </w:t>
            </w:r>
          </w:p>
        </w:tc>
        <w:tc>
          <w:tcPr>
            <w:tcW w:type="dxa" w:w="13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 </w:t>
            </w:r>
          </w:p>
        </w:tc>
        <w:tc>
          <w:tcPr>
            <w:tcW w:type="dxa" w:w="37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 </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 </w:t>
            </w:r>
          </w:p>
        </w:tc>
        <w:tc>
          <w:tcPr>
            <w:tcW w:type="dxa" w:w="118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 </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 </w:t>
            </w:r>
          </w:p>
        </w:tc>
      </w:tr>
      <w:tr>
        <w:tc>
          <w:tcPr>
            <w:tcW w:type="dxa" w:w="78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 </w:t>
            </w:r>
          </w:p>
        </w:tc>
        <w:tc>
          <w:tcPr>
            <w:tcW w:type="dxa" w:w="13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 </w:t>
            </w:r>
          </w:p>
        </w:tc>
        <w:tc>
          <w:tcPr>
            <w:tcW w:type="dxa" w:w="37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 </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 </w:t>
            </w:r>
          </w:p>
        </w:tc>
        <w:tc>
          <w:tcPr>
            <w:tcW w:type="dxa" w:w="118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 </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 </w:t>
            </w:r>
          </w:p>
        </w:tc>
      </w:tr>
      <w:tr>
        <w:tc>
          <w:tcPr>
            <w:tcW w:type="dxa" w:w="78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 </w:t>
            </w:r>
          </w:p>
        </w:tc>
        <w:tc>
          <w:tcPr>
            <w:tcW w:type="dxa" w:w="13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 </w:t>
            </w:r>
          </w:p>
        </w:tc>
        <w:tc>
          <w:tcPr>
            <w:tcW w:type="dxa" w:w="37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 </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 </w:t>
            </w:r>
          </w:p>
        </w:tc>
        <w:tc>
          <w:tcPr>
            <w:tcW w:type="dxa" w:w="118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 </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 </w:t>
            </w:r>
          </w:p>
        </w:tc>
      </w:tr>
      <w:tr>
        <w:tc>
          <w:tcPr>
            <w:tcW w:type="dxa" w:w="78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 </w:t>
            </w:r>
          </w:p>
        </w:tc>
        <w:tc>
          <w:tcPr>
            <w:tcW w:type="dxa" w:w="13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 </w:t>
            </w:r>
          </w:p>
        </w:tc>
        <w:tc>
          <w:tcPr>
            <w:tcW w:type="dxa" w:w="37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 </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 </w:t>
            </w:r>
          </w:p>
        </w:tc>
        <w:tc>
          <w:tcPr>
            <w:tcW w:type="dxa" w:w="118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 </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 </w:t>
            </w:r>
          </w:p>
        </w:tc>
      </w:tr>
      <w:tr>
        <w:tc>
          <w:tcPr>
            <w:tcW w:type="dxa" w:w="78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 </w:t>
            </w:r>
          </w:p>
        </w:tc>
        <w:tc>
          <w:tcPr>
            <w:tcW w:type="dxa" w:w="13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 </w:t>
            </w:r>
          </w:p>
        </w:tc>
        <w:tc>
          <w:tcPr>
            <w:tcW w:type="dxa" w:w="37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 </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 </w:t>
            </w:r>
          </w:p>
        </w:tc>
        <w:tc>
          <w:tcPr>
            <w:tcW w:type="dxa" w:w="118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 </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 </w:t>
            </w:r>
          </w:p>
        </w:tc>
      </w:tr>
      <w:tr>
        <w:tc>
          <w:tcPr>
            <w:tcW w:type="dxa" w:w="78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 </w:t>
            </w:r>
          </w:p>
        </w:tc>
        <w:tc>
          <w:tcPr>
            <w:tcW w:type="dxa" w:w="13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 </w:t>
            </w:r>
          </w:p>
        </w:tc>
        <w:tc>
          <w:tcPr>
            <w:tcW w:type="dxa" w:w="37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 </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 </w:t>
            </w:r>
          </w:p>
        </w:tc>
        <w:tc>
          <w:tcPr>
            <w:tcW w:type="dxa" w:w="118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 </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 </w:t>
            </w:r>
          </w:p>
        </w:tc>
      </w:tr>
    </w:tbl>
    <w:p>
      <w:pPr>
        <w:spacing w:after="60" w:before="60" w:line="320"/>
        <w:jc w:val="both"/>
      </w:pPr>
      <w:r>
        <w:rPr>
          <w:rFonts w:ascii="Times New Roman" w:cs="Times New Roman" w:eastAsia="Times New Roman" w:hAnsi="Times New Roman"/>
          <w:sz w:val="24"/>
          <w:szCs w:val="24"/>
        </w:rPr>
        <w:t xml:space="preserve"/>
      </w:r>
    </w:p>
    <w:p>
      <w:pPr>
        <w:pStyle w:val="Heading1"/>
        <w:spacing w:after="60" w:before="60" w:line="320"/>
        <w:jc w:val="both"/>
      </w:pPr>
      <w:r>
        <w:rPr>
          <w:rFonts w:ascii="Times New Roman" w:cs="Times New Roman" w:eastAsia="Times New Roman" w:hAnsi="Times New Roman"/>
          <w:sz w:val="24"/>
          <w:szCs w:val="24"/>
        </w:rPr>
        <w:t xml:space="preserve">1. Mục đích</w:t>
      </w:r>
    </w:p>
    <w:p>
      <w:pPr>
        <w:spacing w:after="60" w:before="60" w:line="320"/>
        <w:jc w:val="both"/>
      </w:pPr>
      <w:r>
        <w:rPr>
          <w:rFonts w:ascii="Times New Roman" w:cs="Times New Roman" w:eastAsia="Times New Roman" w:hAnsi="Times New Roman"/>
          <w:sz w:val="24"/>
          <w:szCs w:val="24"/>
        </w:rPr>
        <w:t xml:space="preserve">Quy trình này quy định trình tự, trách nhiệm và phương pháp thực hiện truy xuất nguồn gốc sản phẩm trong toàn bộ chuỗi sản xuất kinh doanh của Công ty, nhằm đáp ứng yêu cầu của tiêu chuẩn ISO 22000:2018 (điều khoản 8.3) và các yêu cầu pháp lý hiện hành về an toàn thực phẩm.</w:t>
      </w:r>
    </w:p>
    <w:p>
      <w:pPr>
        <w:spacing w:after="60" w:before="60" w:line="320"/>
        <w:jc w:val="both"/>
      </w:pPr>
      <w:r>
        <w:rPr>
          <w:rFonts w:ascii="Times New Roman" w:cs="Times New Roman" w:eastAsia="Times New Roman" w:hAnsi="Times New Roman"/>
          <w:sz w:val="24"/>
          <w:szCs w:val="24"/>
        </w:rPr>
        <w:t xml:space="preserve">Quy trình bảo đảm trong vòng tối đa 02 (hai) giờ kể từ khi nhận yêu cầu, có thể truy xuất đầy đủ nguồn gốc của bất kỳ lô sản phẩm nào theo cả hai chiều: từ lô thành phẩm về tới nguyên liệu đầu vào và nhà cung cấp (truy xuất ngược); từ lô thành phẩm đến hệ thống phân phối và khách hàng cuối (truy xuất xuôi).</w:t>
      </w:r>
    </w:p>
    <w:p>
      <w:pPr>
        <w:pStyle w:val="Heading1"/>
        <w:spacing w:after="60" w:before="60" w:line="320"/>
        <w:jc w:val="both"/>
      </w:pPr>
      <w:r>
        <w:rPr>
          <w:rFonts w:ascii="Times New Roman" w:cs="Times New Roman" w:eastAsia="Times New Roman" w:hAnsi="Times New Roman"/>
          <w:sz w:val="24"/>
          <w:szCs w:val="24"/>
        </w:rPr>
        <w:t xml:space="preserve">2. Phạm vi áp dụng</w:t>
      </w:r>
    </w:p>
    <w:p>
      <w:pPr>
        <w:spacing w:after="60" w:before="60" w:line="320"/>
        <w:jc w:val="both"/>
      </w:pPr>
      <w:r>
        <w:rPr>
          <w:rFonts w:ascii="Times New Roman" w:cs="Times New Roman" w:eastAsia="Times New Roman" w:hAnsi="Times New Roman"/>
          <w:sz w:val="24"/>
          <w:szCs w:val="24"/>
        </w:rPr>
        <w:t xml:space="preserve">Quy trình này áp dụng đối với tất cả các lô sản phẩm trong phạm vi Hệ thống quản lý an toàn thực phẩm của Công ty, bao gồm bánh đậu xanh và bột đậu, kể từ khi nguyên liệu được tiếp nhận đến khi sản phẩm đã được phân phối ra thị trường.</w:t>
      </w:r>
    </w:p>
    <w:p>
      <w:pPr>
        <w:spacing w:after="60" w:before="60" w:line="320"/>
        <w:jc w:val="both"/>
      </w:pPr>
      <w:r>
        <w:rPr>
          <w:rFonts w:ascii="Times New Roman" w:cs="Times New Roman" w:eastAsia="Times New Roman" w:hAnsi="Times New Roman"/>
          <w:sz w:val="24"/>
          <w:szCs w:val="24"/>
        </w:rPr>
        <w:t xml:space="preserve">Quy trình áp dụng đối với tất cả các bộ phận có liên quan: Ban An toàn thực phẩm, Bộ phận Sản xuất, Bộ phận Kinh doanh, Bộ phận Kế toán Kho và các bộ phận hỗ trợ.</w:t>
      </w:r>
    </w:p>
    <w:p>
      <w:pPr>
        <w:pStyle w:val="Heading1"/>
        <w:spacing w:after="60" w:before="60" w:line="320"/>
        <w:jc w:val="both"/>
      </w:pPr>
      <w:r>
        <w:rPr>
          <w:rFonts w:ascii="Times New Roman" w:cs="Times New Roman" w:eastAsia="Times New Roman" w:hAnsi="Times New Roman"/>
          <w:sz w:val="24"/>
          <w:szCs w:val="24"/>
        </w:rPr>
        <w:t xml:space="preserve">3. Tài liệu tham khảo</w:t>
      </w:r>
    </w:p>
    <w:p>
      <w:pPr>
        <w:pStyle w:val="ListParagraph"/>
        <w:numPr>
          <w:ilvl w:val="0"/>
          <w:numId w:val="2"/>
        </w:numPr>
        <w:spacing w:after="40" w:before="40"/>
      </w:pPr>
      <w:r>
        <w:rPr>
          <w:rFonts w:ascii="Times New Roman" w:cs="Times New Roman" w:eastAsia="Times New Roman" w:hAnsi="Times New Roman"/>
          <w:sz w:val="24"/>
          <w:szCs w:val="24"/>
        </w:rPr>
        <w:t xml:space="preserve">ISO 22000:2018 Hệ thống quản lý an toàn thực phẩm — Yêu cầu đối với các tổ chức trong chuỗi cung ứng thực phẩm (điều khoản 8.3 Hệ thống truy xuất nguồn gốc).</w:t>
      </w:r>
    </w:p>
    <w:p>
      <w:pPr>
        <w:pStyle w:val="ListParagraph"/>
        <w:numPr>
          <w:ilvl w:val="0"/>
          <w:numId w:val="2"/>
        </w:numPr>
        <w:spacing w:after="40" w:before="40"/>
      </w:pPr>
      <w:r>
        <w:rPr>
          <w:rFonts w:ascii="Times New Roman" w:cs="Times New Roman" w:eastAsia="Times New Roman" w:hAnsi="Times New Roman"/>
          <w:sz w:val="24"/>
          <w:szCs w:val="24"/>
        </w:rPr>
        <w:t xml:space="preserve">Luật An toàn thực phẩm số 55/2010/QH12 và các văn bản hướng dẫn thi hành.</w:t>
      </w:r>
    </w:p>
    <w:p>
      <w:pPr>
        <w:pStyle w:val="ListParagraph"/>
        <w:numPr>
          <w:ilvl w:val="0"/>
          <w:numId w:val="2"/>
        </w:numPr>
        <w:spacing w:after="40" w:before="40"/>
      </w:pPr>
      <w:r>
        <w:rPr>
          <w:rFonts w:ascii="Times New Roman" w:cs="Times New Roman" w:eastAsia="Times New Roman" w:hAnsi="Times New Roman"/>
          <w:sz w:val="24"/>
          <w:szCs w:val="24"/>
        </w:rPr>
        <w:t xml:space="preserve">QT 01 Quản lý chung hệ thống an toàn thực phẩm.</w:t>
      </w:r>
    </w:p>
    <w:p>
      <w:pPr>
        <w:pStyle w:val="ListParagraph"/>
        <w:numPr>
          <w:ilvl w:val="0"/>
          <w:numId w:val="2"/>
        </w:numPr>
        <w:spacing w:after="40" w:before="40"/>
      </w:pPr>
      <w:r>
        <w:rPr>
          <w:rFonts w:ascii="Times New Roman" w:cs="Times New Roman" w:eastAsia="Times New Roman" w:hAnsi="Times New Roman"/>
          <w:sz w:val="24"/>
          <w:szCs w:val="24"/>
        </w:rPr>
        <w:t xml:space="preserve">QT 02 Thu hồi sản phẩm.</w:t>
      </w:r>
    </w:p>
    <w:p>
      <w:pPr>
        <w:pStyle w:val="ListParagraph"/>
        <w:numPr>
          <w:ilvl w:val="0"/>
          <w:numId w:val="2"/>
        </w:numPr>
        <w:spacing w:after="40" w:before="40"/>
      </w:pPr>
      <w:r>
        <w:rPr>
          <w:rFonts w:ascii="Times New Roman" w:cs="Times New Roman" w:eastAsia="Times New Roman" w:hAnsi="Times New Roman"/>
          <w:sz w:val="24"/>
          <w:szCs w:val="24"/>
        </w:rPr>
        <w:t xml:space="preserve">QT 07 Mua hàng, đánh giá lựa chọn nhà cung cấp.</w:t>
      </w:r>
    </w:p>
    <w:p>
      <w:pPr>
        <w:pStyle w:val="ListParagraph"/>
        <w:numPr>
          <w:ilvl w:val="0"/>
          <w:numId w:val="2"/>
        </w:numPr>
        <w:spacing w:after="40" w:before="40"/>
      </w:pPr>
      <w:r>
        <w:rPr>
          <w:rFonts w:ascii="Times New Roman" w:cs="Times New Roman" w:eastAsia="Times New Roman" w:hAnsi="Times New Roman"/>
          <w:sz w:val="24"/>
          <w:szCs w:val="24"/>
        </w:rPr>
        <w:t xml:space="preserve">QT 08 Quản lý sản xuất.</w:t>
      </w:r>
    </w:p>
    <w:p>
      <w:pPr>
        <w:pStyle w:val="ListParagraph"/>
        <w:numPr>
          <w:ilvl w:val="0"/>
          <w:numId w:val="2"/>
        </w:numPr>
        <w:spacing w:after="40" w:before="40"/>
      </w:pPr>
      <w:r>
        <w:rPr>
          <w:rFonts w:ascii="Times New Roman" w:cs="Times New Roman" w:eastAsia="Times New Roman" w:hAnsi="Times New Roman"/>
          <w:sz w:val="24"/>
          <w:szCs w:val="24"/>
        </w:rPr>
        <w:t xml:space="preserve">QĐ.01 Quy định lưu mẫu sản phẩm.</w:t>
      </w:r>
    </w:p>
    <w:p>
      <w:pPr>
        <w:pStyle w:val="Heading1"/>
        <w:spacing w:after="60" w:before="60" w:line="320"/>
        <w:jc w:val="both"/>
      </w:pPr>
      <w:r>
        <w:rPr>
          <w:rFonts w:ascii="Times New Roman" w:cs="Times New Roman" w:eastAsia="Times New Roman" w:hAnsi="Times New Roman"/>
          <w:sz w:val="24"/>
          <w:szCs w:val="24"/>
        </w:rPr>
        <w:t xml:space="preserve">4. Định nghĩa, viết tắt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bCs/>
                <w:sz w:val="22"/>
                <w:szCs w:val="22"/>
              </w:rPr>
              <w:t xml:space="preserve">ATTP</w:t>
            </w:r>
          </w:p>
        </w:tc>
        <w:tc>
          <w:tcPr>
            <w:tcW w:type="dxa" w:w="7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An toàn thực phẩm</w:t>
            </w:r>
          </w:p>
        </w:tc>
      </w:tr>
      <w:tr>
        <w:tc>
          <w:tcPr>
            <w:tcW w:type="dxa" w:w="21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bCs/>
                <w:sz w:val="22"/>
                <w:szCs w:val="22"/>
              </w:rPr>
              <w:t xml:space="preserve">FSMS</w:t>
            </w:r>
          </w:p>
        </w:tc>
        <w:tc>
          <w:tcPr>
            <w:tcW w:type="dxa" w:w="7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Hệ thống quản lý an toàn thực phẩm (Food Safety Management System)</w:t>
            </w:r>
          </w:p>
        </w:tc>
      </w:tr>
      <w:tr>
        <w:tc>
          <w:tcPr>
            <w:tcW w:type="dxa" w:w="21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bCs/>
                <w:sz w:val="22"/>
                <w:szCs w:val="22"/>
              </w:rPr>
              <w:t xml:space="preserve">Lô sản phẩm</w:t>
            </w:r>
          </w:p>
        </w:tc>
        <w:tc>
          <w:tcPr>
            <w:tcW w:type="dxa" w:w="7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Đơn vị nhỏ nhất của thành phẩm được sản xuất ra trong cùng một điều kiện, được nhận biết bởi mã lô / mã mẻ và ngày sản xuất.</w:t>
            </w:r>
          </w:p>
        </w:tc>
      </w:tr>
      <w:tr>
        <w:tc>
          <w:tcPr>
            <w:tcW w:type="dxa" w:w="21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bCs/>
                <w:sz w:val="22"/>
                <w:szCs w:val="22"/>
              </w:rPr>
              <w:t xml:space="preserve">Lô nguyên liệu</w:t>
            </w:r>
          </w:p>
        </w:tc>
        <w:tc>
          <w:tcPr>
            <w:tcW w:type="dxa" w:w="7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Đơn vị nguyên liệu được tiếp nhận từ một nhà cung cấp trong cùng một lần giao hàng, có cùng số phiếu nhập kho.</w:t>
            </w:r>
          </w:p>
        </w:tc>
      </w:tr>
      <w:tr>
        <w:tc>
          <w:tcPr>
            <w:tcW w:type="dxa" w:w="21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bCs/>
                <w:sz w:val="22"/>
                <w:szCs w:val="22"/>
              </w:rPr>
              <w:t xml:space="preserve">Truy xuất ngược</w:t>
            </w:r>
          </w:p>
        </w:tc>
        <w:tc>
          <w:tcPr>
            <w:tcW w:type="dxa" w:w="7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Quá trình xác định nguồn gốc của một lô sản phẩm: nguyên liệu nào, nhà cung cấp nào, lô nguyên liệu nào, ngày tiếp nhận, đã sử dụng số lượng bao nhiêu vào lô sản phẩm đó.</w:t>
            </w:r>
          </w:p>
        </w:tc>
      </w:tr>
      <w:tr>
        <w:tc>
          <w:tcPr>
            <w:tcW w:type="dxa" w:w="21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bCs/>
                <w:sz w:val="22"/>
                <w:szCs w:val="22"/>
              </w:rPr>
              <w:t xml:space="preserve">Truy xuất xuôi</w:t>
            </w:r>
          </w:p>
        </w:tc>
        <w:tc>
          <w:tcPr>
            <w:tcW w:type="dxa" w:w="7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Quá trình xác định lộ trình phân phối của một lô sản phẩm: đã giao cho khách hàng nào, theo phiếu xuất nào, ngày giao, số lượng, hiện còn tồn bao nhiêu, hiện đã thu hồi bao nhiêu.</w:t>
            </w:r>
          </w:p>
        </w:tc>
      </w:tr>
      <w:tr>
        <w:tc>
          <w:tcPr>
            <w:tcW w:type="dxa" w:w="21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bCs/>
                <w:sz w:val="22"/>
                <w:szCs w:val="22"/>
              </w:rPr>
              <w:t xml:space="preserve">Diễn tập truy xuất</w:t>
            </w:r>
          </w:p>
        </w:tc>
        <w:tc>
          <w:tcPr>
            <w:tcW w:type="dxa" w:w="7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Hoạt động kiểm tra định kỳ khả năng truy xuất nguồn gốc của hệ thống bằng cách chọn một lô sản phẩm bất kỳ và thực hiện đầy đủ quá trình truy xuất ngược + xuôi trong khoảng thời gian giới hạn.</w:t>
            </w:r>
          </w:p>
        </w:tc>
      </w:tr>
      <w:tr>
        <w:tc>
          <w:tcPr>
            <w:tcW w:type="dxa" w:w="21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bCs/>
                <w:sz w:val="22"/>
                <w:szCs w:val="22"/>
              </w:rPr>
              <w:t xml:space="preserve">Thời gian mục tiêu</w:t>
            </w:r>
          </w:p>
        </w:tc>
        <w:tc>
          <w:tcPr>
            <w:tcW w:type="dxa" w:w="7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Thời gian tối đa cho phép để hoàn thành một quá trình truy xuất nguồn gốc đầy đủ. Theo QT 02 (Thu hồi sản phẩm), thời gian mục tiêu là 02 (hai) giờ kể từ khi nhận yêu cầu.</w:t>
            </w:r>
          </w:p>
        </w:tc>
      </w:tr>
      <w:tr>
        <w:tc>
          <w:tcPr>
            <w:tcW w:type="dxa" w:w="21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bCs/>
                <w:sz w:val="22"/>
                <w:szCs w:val="22"/>
              </w:rPr>
              <w:t xml:space="preserve">CCP</w:t>
            </w:r>
          </w:p>
        </w:tc>
        <w:tc>
          <w:tcPr>
            <w:tcW w:type="dxa" w:w="7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Điểm kiểm soát tới hạn (Critical Control Point)</w:t>
            </w:r>
          </w:p>
        </w:tc>
      </w:tr>
      <w:tr>
        <w:tc>
          <w:tcPr>
            <w:tcW w:type="dxa" w:w="21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bCs/>
                <w:sz w:val="22"/>
                <w:szCs w:val="22"/>
              </w:rPr>
              <w:t xml:space="preserve">OPRP</w:t>
            </w:r>
          </w:p>
        </w:tc>
        <w:tc>
          <w:tcPr>
            <w:tcW w:type="dxa" w:w="7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Chương trình tiên quyết vận hành (Operational Prerequisite Programme)</w:t>
            </w:r>
          </w:p>
        </w:tc>
      </w:tr>
      <w:tr>
        <w:tc>
          <w:tcPr>
            <w:tcW w:type="dxa" w:w="21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bCs/>
                <w:sz w:val="22"/>
                <w:szCs w:val="22"/>
              </w:rPr>
              <w:t xml:space="preserve">BAT</w:t>
            </w:r>
          </w:p>
        </w:tc>
        <w:tc>
          <w:tcPr>
            <w:tcW w:type="dxa" w:w="7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Ban An toàn thực phẩm</w:t>
            </w:r>
          </w:p>
        </w:tc>
      </w:tr>
      <w:tr>
        <w:tc>
          <w:tcPr>
            <w:tcW w:type="dxa" w:w="21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bCs/>
                <w:sz w:val="22"/>
                <w:szCs w:val="22"/>
              </w:rPr>
              <w:t xml:space="preserve">QLNN</w:t>
            </w:r>
          </w:p>
        </w:tc>
        <w:tc>
          <w:tcPr>
            <w:tcW w:type="dxa" w:w="7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Cơ quan quản lý nhà nước về an toàn thực phẩm</w:t>
            </w:r>
          </w:p>
        </w:tc>
      </w:tr>
    </w:tbl>
    <w:p>
      <w:pPr>
        <w:spacing w:after="60" w:before="60" w:line="320"/>
        <w:jc w:val="both"/>
      </w:pPr>
      <w:r>
        <w:rPr>
          <w:rFonts w:ascii="Times New Roman" w:cs="Times New Roman" w:eastAsia="Times New Roman" w:hAnsi="Times New Roman"/>
          <w:sz w:val="24"/>
          <w:szCs w:val="24"/>
        </w:rPr>
        <w:t xml:space="preserve"/>
      </w:r>
    </w:p>
    <w:p>
      <w:pPr>
        <w:pStyle w:val="Heading1"/>
        <w:spacing w:after="60" w:before="60" w:line="320"/>
        <w:jc w:val="both"/>
      </w:pPr>
      <w:r>
        <w:rPr>
          <w:rFonts w:ascii="Times New Roman" w:cs="Times New Roman" w:eastAsia="Times New Roman" w:hAnsi="Times New Roman"/>
          <w:sz w:val="24"/>
          <w:szCs w:val="24"/>
        </w:rPr>
        <w:t xml:space="preserve">5. Nội dung quy trình</w:t>
      </w:r>
    </w:p>
    <w:p>
      <w:pPr>
        <w:pStyle w:val="Heading2"/>
        <w:spacing w:after="60" w:before="60" w:line="320"/>
        <w:jc w:val="both"/>
      </w:pPr>
      <w:r>
        <w:rPr>
          <w:rFonts w:ascii="Times New Roman" w:cs="Times New Roman" w:eastAsia="Times New Roman" w:hAnsi="Times New Roman"/>
          <w:sz w:val="24"/>
          <w:szCs w:val="24"/>
        </w:rPr>
        <w:t xml:space="preserve">5.1. Hệ thống nhận diện và mã hóa</w:t>
      </w:r>
    </w:p>
    <w:p>
      <w:pPr>
        <w:spacing w:after="60" w:before="60" w:line="320"/>
        <w:jc w:val="both"/>
      </w:pPr>
      <w:r>
        <w:rPr>
          <w:rFonts w:ascii="Times New Roman" w:cs="Times New Roman" w:eastAsia="Times New Roman" w:hAnsi="Times New Roman"/>
          <w:sz w:val="24"/>
          <w:szCs w:val="24"/>
        </w:rPr>
        <w:t xml:space="preserve">Mọi lô nguyên liệu khi tiếp nhận phải được Bộ phận Sản xuất / Kế toán Kho ghi nhận đầy đủ vào phiếu nhập kho và sổ kiểm tra chất lượng vật tư BM.07.03, bao gồm: mã nguyên liệu, lô nguyên liệu (lot do nhà cung cấp cung cấp), nhà cung cấp, ngày tiếp nhận, số lượng, kết quả kiểm tra đầu vào.</w:t>
      </w:r>
    </w:p>
    <w:p>
      <w:pPr>
        <w:spacing w:after="60" w:before="60" w:line="320"/>
        <w:jc w:val="both"/>
      </w:pPr>
      <w:r>
        <w:rPr>
          <w:rFonts w:ascii="Times New Roman" w:cs="Times New Roman" w:eastAsia="Times New Roman" w:hAnsi="Times New Roman"/>
          <w:sz w:val="24"/>
          <w:szCs w:val="24"/>
        </w:rPr>
        <w:t xml:space="preserve">Mọi lô thành phẩm sản xuất ra phải có mã lô riêng theo cấu trúc thống nhất, ghi rõ trên bao bì và trong lệnh sản xuất, thuận tiện cho việc tra cứu sau này. Bộ phận Sản xuất chịu trách nhiệm gắn mã lô và lưu các thông tin liên quan vào hồ sơ sản xuất theo QT 08.</w:t>
      </w:r>
    </w:p>
    <w:p>
      <w:pPr>
        <w:spacing w:after="60" w:before="60" w:line="320"/>
        <w:jc w:val="both"/>
      </w:pPr>
      <w:r>
        <w:rPr>
          <w:rFonts w:ascii="Times New Roman" w:cs="Times New Roman" w:eastAsia="Times New Roman" w:hAnsi="Times New Roman"/>
          <w:sz w:val="24"/>
          <w:szCs w:val="24"/>
        </w:rPr>
        <w:t xml:space="preserve">Mọi lần xuất kho thành phẩm cho khách hàng phải được Bộ phận Kinh doanh / Kế toán Kho ghi rõ mã lô đã xuất trong phiếu xuất kho hoặc hóa đơn, không gộp các lô khác nhau trong cùng một dòng phiếu xuất.</w:t>
      </w:r>
    </w:p>
    <w:p>
      <w:pPr>
        <w:pStyle w:val="Heading2"/>
        <w:spacing w:after="60" w:before="60" w:line="320"/>
        <w:jc w:val="both"/>
      </w:pPr>
      <w:r>
        <w:rPr>
          <w:rFonts w:ascii="Times New Roman" w:cs="Times New Roman" w:eastAsia="Times New Roman" w:hAnsi="Times New Roman"/>
          <w:sz w:val="24"/>
          <w:szCs w:val="24"/>
        </w:rPr>
        <w:t xml:space="preserve">5.2. Truy xuất ngược (Backward traceability)</w:t>
      </w:r>
    </w:p>
    <w:p>
      <w:pPr>
        <w:spacing w:after="60" w:before="60" w:line="320"/>
        <w:jc w:val="both"/>
      </w:pPr>
      <w:r>
        <w:rPr>
          <w:rFonts w:ascii="Times New Roman" w:cs="Times New Roman" w:eastAsia="Times New Roman" w:hAnsi="Times New Roman"/>
          <w:sz w:val="24"/>
          <w:szCs w:val="24"/>
        </w:rPr>
        <w:t xml:space="preserve">Khi yêu cầu truy xuất ngược cho một lô thành phẩm, Bộ phận Sản xuất phải xác định và cung cấp đầy đủ:</w:t>
      </w:r>
    </w:p>
    <w:p>
      <w:pPr>
        <w:pStyle w:val="ListParagraph"/>
        <w:numPr>
          <w:ilvl w:val="0"/>
          <w:numId w:val="2"/>
        </w:numPr>
        <w:spacing w:after="40" w:before="40"/>
      </w:pPr>
      <w:r>
        <w:rPr>
          <w:rFonts w:ascii="Times New Roman" w:cs="Times New Roman" w:eastAsia="Times New Roman" w:hAnsi="Times New Roman"/>
          <w:sz w:val="24"/>
          <w:szCs w:val="24"/>
        </w:rPr>
        <w:t xml:space="preserve">Lệnh sản xuất, ngày sản xuất, ca sản xuất, đội sản xuất.</w:t>
      </w:r>
    </w:p>
    <w:p>
      <w:pPr>
        <w:pStyle w:val="ListParagraph"/>
        <w:numPr>
          <w:ilvl w:val="0"/>
          <w:numId w:val="2"/>
        </w:numPr>
        <w:spacing w:after="40" w:before="40"/>
      </w:pPr>
      <w:r>
        <w:rPr>
          <w:rFonts w:ascii="Times New Roman" w:cs="Times New Roman" w:eastAsia="Times New Roman" w:hAnsi="Times New Roman"/>
          <w:sz w:val="24"/>
          <w:szCs w:val="24"/>
        </w:rPr>
        <w:t xml:space="preserve">Toàn bộ lô nguyên liệu đầu vào đã sử dụng cho lô thành phẩm: mã nguyên liệu, lô nguyên liệu, nhà cung cấp, số phiếu nhập kho, ngày tiếp nhận, số lượng đã sử dụng.</w:t>
      </w:r>
    </w:p>
    <w:p>
      <w:pPr>
        <w:pStyle w:val="ListParagraph"/>
        <w:numPr>
          <w:ilvl w:val="0"/>
          <w:numId w:val="2"/>
        </w:numPr>
        <w:spacing w:after="40" w:before="40"/>
      </w:pPr>
      <w:r>
        <w:rPr>
          <w:rFonts w:ascii="Times New Roman" w:cs="Times New Roman" w:eastAsia="Times New Roman" w:hAnsi="Times New Roman"/>
          <w:sz w:val="24"/>
          <w:szCs w:val="24"/>
        </w:rPr>
        <w:t xml:space="preserve">Hồ sơ giám sát CCP và OPRP trong quá trình sản xuất lô đó.</w:t>
      </w:r>
    </w:p>
    <w:p>
      <w:pPr>
        <w:pStyle w:val="ListParagraph"/>
        <w:numPr>
          <w:ilvl w:val="0"/>
          <w:numId w:val="2"/>
        </w:numPr>
        <w:spacing w:after="40" w:before="40"/>
      </w:pPr>
      <w:r>
        <w:rPr>
          <w:rFonts w:ascii="Times New Roman" w:cs="Times New Roman" w:eastAsia="Times New Roman" w:hAnsi="Times New Roman"/>
          <w:sz w:val="24"/>
          <w:szCs w:val="24"/>
        </w:rPr>
        <w:t xml:space="preserve">Kết quả KCS thành phẩm, mẫu lưu sản phẩm theo QĐ.01.</w:t>
      </w:r>
    </w:p>
    <w:p>
      <w:pPr>
        <w:spacing w:after="60" w:before="60" w:line="320"/>
        <w:jc w:val="both"/>
      </w:pPr>
      <w:r>
        <w:rPr>
          <w:rFonts w:ascii="Times New Roman" w:cs="Times New Roman" w:eastAsia="Times New Roman" w:hAnsi="Times New Roman"/>
          <w:sz w:val="24"/>
          <w:szCs w:val="24"/>
        </w:rPr>
        <w:t xml:space="preserve">Việc truy ngược kết thúc khi đã xác định được toàn bộ chuỗi nguyên liệu, nhà cung cấp gốc và thông số kiểm soát quá trình sản xuất.</w:t>
      </w:r>
    </w:p>
    <w:p>
      <w:pPr>
        <w:pStyle w:val="Heading2"/>
        <w:spacing w:after="60" w:before="60" w:line="320"/>
        <w:jc w:val="both"/>
      </w:pPr>
      <w:r>
        <w:rPr>
          <w:rFonts w:ascii="Times New Roman" w:cs="Times New Roman" w:eastAsia="Times New Roman" w:hAnsi="Times New Roman"/>
          <w:sz w:val="24"/>
          <w:szCs w:val="24"/>
        </w:rPr>
        <w:t xml:space="preserve">5.3. Truy xuất xuôi (Forward traceability)</w:t>
      </w:r>
    </w:p>
    <w:p>
      <w:pPr>
        <w:spacing w:after="60" w:before="60" w:line="320"/>
        <w:jc w:val="both"/>
      </w:pPr>
      <w:r>
        <w:rPr>
          <w:rFonts w:ascii="Times New Roman" w:cs="Times New Roman" w:eastAsia="Times New Roman" w:hAnsi="Times New Roman"/>
          <w:sz w:val="24"/>
          <w:szCs w:val="24"/>
        </w:rPr>
        <w:t xml:space="preserve">Khi yêu cầu truy xuất xuôi cho một lô thành phẩm, Bộ phận Kinh doanh phải xác định và cung cấp đầy đủ:</w:t>
      </w:r>
    </w:p>
    <w:p>
      <w:pPr>
        <w:pStyle w:val="ListParagraph"/>
        <w:numPr>
          <w:ilvl w:val="0"/>
          <w:numId w:val="2"/>
        </w:numPr>
        <w:spacing w:after="40" w:before="40"/>
      </w:pPr>
      <w:r>
        <w:rPr>
          <w:rFonts w:ascii="Times New Roman" w:cs="Times New Roman" w:eastAsia="Times New Roman" w:hAnsi="Times New Roman"/>
          <w:sz w:val="24"/>
          <w:szCs w:val="24"/>
        </w:rPr>
        <w:t xml:space="preserve">Toàn bộ phiếu xuất kho / hóa đơn có chứa lô thành phẩm: ngày xuất, khách hàng, số lượng đã giao.</w:t>
      </w:r>
    </w:p>
    <w:p>
      <w:pPr>
        <w:pStyle w:val="ListParagraph"/>
        <w:numPr>
          <w:ilvl w:val="0"/>
          <w:numId w:val="2"/>
        </w:numPr>
        <w:spacing w:after="40" w:before="40"/>
      </w:pPr>
      <w:r>
        <w:rPr>
          <w:rFonts w:ascii="Times New Roman" w:cs="Times New Roman" w:eastAsia="Times New Roman" w:hAnsi="Times New Roman"/>
          <w:sz w:val="24"/>
          <w:szCs w:val="24"/>
        </w:rPr>
        <w:t xml:space="preserve">Tình trạng hiện tại tại các điểm phân phối: đã bán đến người tiêu dùng cuối, còn tồn ở khách hàng đại lý, đã thu hồi (nếu có).</w:t>
      </w:r>
    </w:p>
    <w:p>
      <w:pPr>
        <w:pStyle w:val="ListParagraph"/>
        <w:numPr>
          <w:ilvl w:val="0"/>
          <w:numId w:val="2"/>
        </w:numPr>
        <w:spacing w:after="40" w:before="40"/>
      </w:pPr>
      <w:r>
        <w:rPr>
          <w:rFonts w:ascii="Times New Roman" w:cs="Times New Roman" w:eastAsia="Times New Roman" w:hAnsi="Times New Roman"/>
          <w:sz w:val="24"/>
          <w:szCs w:val="24"/>
        </w:rPr>
        <w:t xml:space="preserve">Thông tin liên hệ của các khách hàng để phục vụ thông báo thu hồi (nếu cần).</w:t>
      </w:r>
    </w:p>
    <w:p>
      <w:pPr>
        <w:pStyle w:val="ListParagraph"/>
        <w:numPr>
          <w:ilvl w:val="0"/>
          <w:numId w:val="2"/>
        </w:numPr>
        <w:spacing w:after="40" w:before="40"/>
      </w:pPr>
      <w:r>
        <w:rPr>
          <w:rFonts w:ascii="Times New Roman" w:cs="Times New Roman" w:eastAsia="Times New Roman" w:hAnsi="Times New Roman"/>
          <w:sz w:val="24"/>
          <w:szCs w:val="24"/>
        </w:rPr>
        <w:t xml:space="preserve">Số lượng còn tồn trong kho thành phẩm của Công ty.</w:t>
      </w:r>
    </w:p>
    <w:p>
      <w:pPr>
        <w:spacing w:after="60" w:before="60" w:line="320"/>
        <w:jc w:val="both"/>
      </w:pPr>
      <w:r>
        <w:rPr>
          <w:rFonts w:ascii="Times New Roman" w:cs="Times New Roman" w:eastAsia="Times New Roman" w:hAnsi="Times New Roman"/>
          <w:sz w:val="24"/>
          <w:szCs w:val="24"/>
        </w:rPr>
        <w:t xml:space="preserve">Việc truy xuôi kết thúc khi tổng số lượng thành phẩm được hạch toán đầy đủ qua các kênh: đã giao + tồn kho + mẫu lưu + huỷ hợp lệ ≈ tổng số lượng sản xuất.</w:t>
      </w:r>
    </w:p>
    <w:p>
      <w:pPr>
        <w:pStyle w:val="Heading2"/>
        <w:spacing w:after="60" w:before="60" w:line="320"/>
        <w:jc w:val="both"/>
      </w:pPr>
      <w:r>
        <w:rPr>
          <w:rFonts w:ascii="Times New Roman" w:cs="Times New Roman" w:eastAsia="Times New Roman" w:hAnsi="Times New Roman"/>
          <w:sz w:val="24"/>
          <w:szCs w:val="24"/>
        </w:rPr>
        <w:t xml:space="preserve">5.4. Trình tự thực hiện truy xuất khi có yêu cầu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200"/>
        <w:gridCol w:w="6440"/>
      </w:tblGrid>
      <w:tr>
        <w:tc>
          <w:tcPr>
            <w:tcW w:type="dxa" w:w="720"/>
            <w:tcBorders>
              <w:top w:val="single" w:color="000000" w:sz="4"/>
              <w:left w:val="single" w:color="000000" w:sz="4"/>
              <w:bottom w:val="single" w:color="000000" w:sz="4"/>
              <w:right w:val="single" w:color="000000" w:sz="4"/>
            </w:tcBorders>
            <w:shd w:fill="D9E2F3"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Bước</w:t>
            </w:r>
          </w:p>
        </w:tc>
        <w:tc>
          <w:tcPr>
            <w:tcW w:type="dxa" w:w="2200"/>
            <w:tcBorders>
              <w:top w:val="single" w:color="000000" w:sz="4"/>
              <w:left w:val="single" w:color="000000" w:sz="4"/>
              <w:bottom w:val="single" w:color="000000" w:sz="4"/>
              <w:right w:val="single" w:color="000000" w:sz="4"/>
            </w:tcBorders>
            <w:shd w:fill="D9E2F3"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Người thực hiện</w:t>
            </w:r>
          </w:p>
        </w:tc>
        <w:tc>
          <w:tcPr>
            <w:tcW w:type="dxa" w:w="6440"/>
            <w:tcBorders>
              <w:top w:val="single" w:color="000000" w:sz="4"/>
              <w:left w:val="single" w:color="000000" w:sz="4"/>
              <w:bottom w:val="single" w:color="000000" w:sz="4"/>
              <w:right w:val="single" w:color="000000" w:sz="4"/>
            </w:tcBorders>
            <w:shd w:fill="D9E2F3"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Nội dung công việc</w:t>
            </w:r>
          </w:p>
        </w:tc>
      </w:tr>
      <w:tr>
        <w:tc>
          <w:tcPr>
            <w:tcW w:type="dxa" w:w="72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B1</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Người đề nghị truy xuất
(QLNN / KH / Trưởng BAT / Đội Recall / NV được phân công diễn tập)</w:t>
            </w:r>
          </w:p>
        </w:tc>
        <w:tc>
          <w:tcPr>
            <w:tcW w:type="dxa" w:w="644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Gửi yêu cầu truy xuất bằng văn bản hoặc qua hệ thống FSMS, nêu rõ:
- Lô sản phẩm cần truy xuất (mã lô, ngày SX, item)
- Lý do truy xuất (Recall thực tế / Yêu cầu QLNN / Khiếu nại KH / Diễn tập định kỳ)
- Phạm vi yêu cầu (chỉ ngược, chỉ xuôi, hoặc cả hai)
- Thời hạn yêu cầu hoàn thành</w:t>
            </w:r>
          </w:p>
        </w:tc>
      </w:tr>
      <w:tr>
        <w:tc>
          <w:tcPr>
            <w:tcW w:type="dxa" w:w="72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B2</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Trưởng BAT</w:t>
            </w:r>
          </w:p>
        </w:tc>
        <w:tc>
          <w:tcPr>
            <w:tcW w:type="dxa" w:w="644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Tiếp nhận yêu cầu, ghi sổ và phân công ngay người thực hiện. Mở phiếu BM.09.01 (Phiếu kết quả truy xuất nguồn gốc) trong vòng tối đa 30 phút từ thời điểm tiếp nhận.
Ghi nhận thời điểm bắt đầu truy xuất (T0) để đo thời gian thực hiện.</w:t>
            </w:r>
          </w:p>
        </w:tc>
      </w:tr>
      <w:tr>
        <w:tc>
          <w:tcPr>
            <w:tcW w:type="dxa" w:w="72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B3</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Bộ phận Sản xuất</w:t>
            </w:r>
          </w:p>
        </w:tc>
        <w:tc>
          <w:tcPr>
            <w:tcW w:type="dxa" w:w="644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Trong vòng tối đa 60 phút kể từ T0, cung cấp đầy đủ thông tin:
- Lệnh sản xuất, ngày SX, ca SX, đội SX của lô
- Bảng định mức nguyên liệu (BOM) đã sử dụng
- Danh mục lô nguyên liệu đầu vào: mã NL, lô NL, NCC, số phiếu nhập kho, số lượng đã dùng cho lô SX
- Hồ sơ giám sát CCP / OPRP của lô SX
- Hồ sơ KCS thành phẩm của lô SX
Tất cả số liệu được tổng hợp vào phần Truy xuất ngược của BM.09.01.</w:t>
            </w:r>
          </w:p>
        </w:tc>
      </w:tr>
      <w:tr>
        <w:tc>
          <w:tcPr>
            <w:tcW w:type="dxa" w:w="72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B4</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Bộ phận Kinh doanh</w:t>
            </w:r>
          </w:p>
        </w:tc>
        <w:tc>
          <w:tcPr>
            <w:tcW w:type="dxa" w:w="644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Trong vòng tối đa 60 phút kể từ T0, cung cấp:
- Danh sách phiếu xuất kho / hóa đơn của lô SX: ngày xuất, khách hàng, số lượng
- Tình trạng hiện tại tại các kênh phân phối (đã giao, còn tồn, đã thu hồi nếu có)
- Thông tin liên hệ của các khách hàng nhận lô
Tổng hợp vào phần Truy xuất xuôi của BM.09.01.</w:t>
            </w:r>
          </w:p>
        </w:tc>
      </w:tr>
      <w:tr>
        <w:tc>
          <w:tcPr>
            <w:tcW w:type="dxa" w:w="72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B5</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Người thực hiện truy xuất</w:t>
            </w:r>
          </w:p>
        </w:tc>
        <w:tc>
          <w:tcPr>
            <w:tcW w:type="dxa" w:w="644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Đối chiếu, kiểm tra số liệu giữa B3 và B4:
- Tổng số lượng đầu vào nguyên liệu × hiệu suất ≈ tổng số lượng thành phẩm
- Tổng số lượng thành phẩm = số lượng đã giao + số lượng còn tồn + số lượng mẫu lưu + số lượng hủy
Nếu có sai lệch lớn (&gt; 5%): báo cáo Trưởng BAT, mở phiếu CAR (BM.01.07) để điều tra nguyên nhân.</w:t>
            </w:r>
          </w:p>
        </w:tc>
      </w:tr>
      <w:tr>
        <w:tc>
          <w:tcPr>
            <w:tcW w:type="dxa" w:w="72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B6</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Trưởng BAT</w:t>
            </w:r>
          </w:p>
        </w:tc>
        <w:tc>
          <w:tcPr>
            <w:tcW w:type="dxa" w:w="644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Soát xét và phê duyệt BM.09.01. Ghi nhận thời điểm hoàn thành (T1).
Tính thời gian thực hiện = T1 - T0.
Đánh giá kết quả:
- Đạt: T1 - T0 ≤ 02 giờ và thông tin đầy đủ, chính xác
- Đạt một phần: T1 - T0 ≤ 02 giờ nhưng thông tin chưa đầy đủ
- Không đạt: T1 - T0 &gt; 02 giờ hoặc thông tin sai lệch nghiêm trọng</w:t>
            </w:r>
          </w:p>
        </w:tc>
      </w:tr>
      <w:tr>
        <w:tc>
          <w:tcPr>
            <w:tcW w:type="dxa" w:w="72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B7</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Trưởng BAT</w:t>
            </w:r>
          </w:p>
        </w:tc>
        <w:tc>
          <w:tcPr>
            <w:tcW w:type="dxa" w:w="644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Gửi kết quả truy xuất cho người đề nghị.
Trường hợp không đạt: mở CAR theo BM.01.07 để cải thiện hệ thống truy xuất.</w:t>
            </w:r>
          </w:p>
        </w:tc>
      </w:tr>
      <w:tr>
        <w:tc>
          <w:tcPr>
            <w:tcW w:type="dxa" w:w="72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B8</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Trưởng BAT</w:t>
            </w:r>
          </w:p>
        </w:tc>
        <w:tc>
          <w:tcPr>
            <w:tcW w:type="dxa" w:w="644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Lưu hồ sơ theo quy định tại mục 6.
Trường hợp diễn tập định kỳ: cập nhật vào báo cáo diễn tập BM.09.02.</w:t>
            </w:r>
          </w:p>
        </w:tc>
      </w:tr>
    </w:tbl>
    <w:p>
      <w:pPr>
        <w:spacing w:after="60" w:before="60" w:line="320"/>
        <w:jc w:val="both"/>
      </w:pPr>
      <w:r>
        <w:rPr>
          <w:rFonts w:ascii="Times New Roman" w:cs="Times New Roman" w:eastAsia="Times New Roman" w:hAnsi="Times New Roman"/>
          <w:sz w:val="24"/>
          <w:szCs w:val="24"/>
        </w:rPr>
        <w:t xml:space="preserve"/>
      </w:r>
    </w:p>
    <w:p>
      <w:pPr>
        <w:pStyle w:val="Heading2"/>
        <w:spacing w:after="60" w:before="60" w:line="320"/>
        <w:jc w:val="both"/>
      </w:pPr>
      <w:r>
        <w:rPr>
          <w:rFonts w:ascii="Times New Roman" w:cs="Times New Roman" w:eastAsia="Times New Roman" w:hAnsi="Times New Roman"/>
          <w:sz w:val="24"/>
          <w:szCs w:val="24"/>
        </w:rPr>
        <w:t xml:space="preserve">5.5. Diễn tập truy xuất định kỳ</w:t>
      </w:r>
    </w:p>
    <w:p>
      <w:pPr>
        <w:spacing w:after="60" w:before="60" w:line="320"/>
        <w:jc w:val="both"/>
      </w:pPr>
      <w:r>
        <w:rPr>
          <w:rFonts w:ascii="Times New Roman" w:cs="Times New Roman" w:eastAsia="Times New Roman" w:hAnsi="Times New Roman"/>
          <w:sz w:val="24"/>
          <w:szCs w:val="24"/>
        </w:rPr>
        <w:t xml:space="preserve">Để duy trì khả năng truy xuất, Công ty thực hiện diễn tập truy xuất định kỳ tối thiểu 02 (hai) lần / năm theo các nguyên tắc sau:</w:t>
      </w:r>
    </w:p>
    <w:p>
      <w:pPr>
        <w:pStyle w:val="ListParagraph"/>
        <w:numPr>
          <w:ilvl w:val="0"/>
          <w:numId w:val="2"/>
        </w:numPr>
        <w:spacing w:after="40" w:before="40"/>
      </w:pPr>
      <w:r>
        <w:rPr>
          <w:rFonts w:ascii="Times New Roman" w:cs="Times New Roman" w:eastAsia="Times New Roman" w:hAnsi="Times New Roman"/>
          <w:sz w:val="24"/>
          <w:szCs w:val="24"/>
        </w:rPr>
        <w:t xml:space="preserve">Trưởng BAT chọn ngẫu nhiên một lô thành phẩm trong vòng 6 tháng gần nhất, ưu tiên lô có khoảng cách phân phối lớn để tăng độ thử thách.</w:t>
      </w:r>
    </w:p>
    <w:p>
      <w:pPr>
        <w:pStyle w:val="ListParagraph"/>
        <w:numPr>
          <w:ilvl w:val="0"/>
          <w:numId w:val="2"/>
        </w:numPr>
        <w:spacing w:after="40" w:before="40"/>
      </w:pPr>
      <w:r>
        <w:rPr>
          <w:rFonts w:ascii="Times New Roman" w:cs="Times New Roman" w:eastAsia="Times New Roman" w:hAnsi="Times New Roman"/>
          <w:sz w:val="24"/>
          <w:szCs w:val="24"/>
        </w:rPr>
        <w:t xml:space="preserve">Mô phỏng yêu cầu truy xuất giả định và yêu cầu các bộ phận thực hiện đầy đủ trình tự B2 → B7 ở mục 5.4.</w:t>
      </w:r>
    </w:p>
    <w:p>
      <w:pPr>
        <w:pStyle w:val="ListParagraph"/>
        <w:numPr>
          <w:ilvl w:val="0"/>
          <w:numId w:val="2"/>
        </w:numPr>
        <w:spacing w:after="40" w:before="40"/>
      </w:pPr>
      <w:r>
        <w:rPr>
          <w:rFonts w:ascii="Times New Roman" w:cs="Times New Roman" w:eastAsia="Times New Roman" w:hAnsi="Times New Roman"/>
          <w:sz w:val="24"/>
          <w:szCs w:val="24"/>
        </w:rPr>
        <w:t xml:space="preserve">Đo thời gian thực hiện thực tế và so sánh với thời gian mục tiêu 02 giờ.</w:t>
      </w:r>
    </w:p>
    <w:p>
      <w:pPr>
        <w:pStyle w:val="ListParagraph"/>
        <w:numPr>
          <w:ilvl w:val="0"/>
          <w:numId w:val="2"/>
        </w:numPr>
        <w:spacing w:after="40" w:before="40"/>
      </w:pPr>
      <w:r>
        <w:rPr>
          <w:rFonts w:ascii="Times New Roman" w:cs="Times New Roman" w:eastAsia="Times New Roman" w:hAnsi="Times New Roman"/>
          <w:sz w:val="24"/>
          <w:szCs w:val="24"/>
        </w:rPr>
        <w:t xml:space="preserve">Đánh giá độ đầy đủ và chính xác của thông tin được cung cấp.</w:t>
      </w:r>
    </w:p>
    <w:p>
      <w:pPr>
        <w:pStyle w:val="ListParagraph"/>
        <w:numPr>
          <w:ilvl w:val="0"/>
          <w:numId w:val="2"/>
        </w:numPr>
        <w:spacing w:after="40" w:before="40"/>
      </w:pPr>
      <w:r>
        <w:rPr>
          <w:rFonts w:ascii="Times New Roman" w:cs="Times New Roman" w:eastAsia="Times New Roman" w:hAnsi="Times New Roman"/>
          <w:sz w:val="24"/>
          <w:szCs w:val="24"/>
        </w:rPr>
        <w:t xml:space="preserve">Ghi nhận kết quả vào BM.09.02 — Báo cáo diễn tập truy xuất.</w:t>
      </w:r>
    </w:p>
    <w:p>
      <w:pPr>
        <w:pStyle w:val="ListParagraph"/>
        <w:numPr>
          <w:ilvl w:val="0"/>
          <w:numId w:val="2"/>
        </w:numPr>
        <w:spacing w:after="40" w:before="40"/>
      </w:pPr>
      <w:r>
        <w:rPr>
          <w:rFonts w:ascii="Times New Roman" w:cs="Times New Roman" w:eastAsia="Times New Roman" w:hAnsi="Times New Roman"/>
          <w:sz w:val="24"/>
          <w:szCs w:val="24"/>
        </w:rPr>
        <w:t xml:space="preserve">Trường hợp diễn tập không đạt: mở CAR theo BM.01.07 để cải tiến hệ thống và lặp lại diễn tập trong vòng 30 ngày.</w:t>
      </w:r>
    </w:p>
    <w:p>
      <w:pPr>
        <w:pStyle w:val="Heading2"/>
        <w:spacing w:after="60" w:before="60" w:line="320"/>
        <w:jc w:val="both"/>
      </w:pPr>
      <w:r>
        <w:rPr>
          <w:rFonts w:ascii="Times New Roman" w:cs="Times New Roman" w:eastAsia="Times New Roman" w:hAnsi="Times New Roman"/>
          <w:sz w:val="24"/>
          <w:szCs w:val="24"/>
        </w:rPr>
        <w:t xml:space="preserve">5.6. Liên hệ với quy trình thu hồi</w:t>
      </w:r>
    </w:p>
    <w:p>
      <w:pPr>
        <w:spacing w:after="60" w:before="60" w:line="320"/>
        <w:jc w:val="both"/>
      </w:pPr>
      <w:r>
        <w:rPr>
          <w:rFonts w:ascii="Times New Roman" w:cs="Times New Roman" w:eastAsia="Times New Roman" w:hAnsi="Times New Roman"/>
          <w:sz w:val="24"/>
          <w:szCs w:val="24"/>
        </w:rPr>
        <w:t xml:space="preserve">Khi xảy ra sự cố an toàn thực phẩm hoặc có yêu cầu thu hồi sản phẩm theo QT 02, kết quả truy xuất theo quy trình này là cơ sở dữ liệu nền tảng để Ban thu hồi xác định phạm vi thu hồi, kế hoạch thu hồi (BM.02.01) và báo cáo thu hồi (BM.02.02).</w:t>
      </w:r>
    </w:p>
    <w:p>
      <w:pPr>
        <w:spacing w:after="60" w:before="60" w:line="320"/>
        <w:jc w:val="both"/>
      </w:pPr>
      <w:r>
        <w:rPr>
          <w:rFonts w:ascii="Times New Roman" w:cs="Times New Roman" w:eastAsia="Times New Roman" w:hAnsi="Times New Roman"/>
          <w:sz w:val="24"/>
          <w:szCs w:val="24"/>
        </w:rPr>
        <w:t xml:space="preserve">Trưởng BAT có trách nhiệm bảo đảm sự đồng bộ giữa kết quả truy xuất và kế hoạch thu hồi, không cho phép phát sinh khoảng trống thông tin giữa hai quy trình.</w:t>
      </w:r>
    </w:p>
    <w:p>
      <w:pPr>
        <w:pStyle w:val="Heading1"/>
        <w:spacing w:after="60" w:before="60" w:line="320"/>
        <w:jc w:val="both"/>
      </w:pPr>
      <w:r>
        <w:rPr>
          <w:rFonts w:ascii="Times New Roman" w:cs="Times New Roman" w:eastAsia="Times New Roman" w:hAnsi="Times New Roman"/>
          <w:sz w:val="24"/>
          <w:szCs w:val="24"/>
        </w:rPr>
        <w:t xml:space="preserve">6. Lưu hồ sơ</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1700"/>
        <w:gridCol w:w="2440"/>
        <w:gridCol w:w="2200"/>
        <w:gridCol w:w="2400"/>
      </w:tblGrid>
      <w:tr>
        <w:tc>
          <w:tcPr>
            <w:tcW w:type="dxa" w:w="620"/>
            <w:tcBorders>
              <w:top w:val="single" w:color="000000" w:sz="4"/>
              <w:left w:val="single" w:color="000000" w:sz="4"/>
              <w:bottom w:val="single" w:color="000000" w:sz="4"/>
              <w:right w:val="single" w:color="000000" w:sz="4"/>
            </w:tcBorders>
            <w:shd w:fill="D9E2F3"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STT</w:t>
            </w:r>
          </w:p>
        </w:tc>
        <w:tc>
          <w:tcPr>
            <w:tcW w:type="dxa" w:w="1700"/>
            <w:tcBorders>
              <w:top w:val="single" w:color="000000" w:sz="4"/>
              <w:left w:val="single" w:color="000000" w:sz="4"/>
              <w:bottom w:val="single" w:color="000000" w:sz="4"/>
              <w:right w:val="single" w:color="000000" w:sz="4"/>
            </w:tcBorders>
            <w:shd w:fill="D9E2F3"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Mã hồ sơ</w:t>
            </w:r>
          </w:p>
        </w:tc>
        <w:tc>
          <w:tcPr>
            <w:tcW w:type="dxa" w:w="2440"/>
            <w:tcBorders>
              <w:top w:val="single" w:color="000000" w:sz="4"/>
              <w:left w:val="single" w:color="000000" w:sz="4"/>
              <w:bottom w:val="single" w:color="000000" w:sz="4"/>
              <w:right w:val="single" w:color="000000" w:sz="4"/>
            </w:tcBorders>
            <w:shd w:fill="D9E2F3"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Tên hồ sơ</w:t>
            </w:r>
          </w:p>
        </w:tc>
        <w:tc>
          <w:tcPr>
            <w:tcW w:type="dxa" w:w="2200"/>
            <w:tcBorders>
              <w:top w:val="single" w:color="000000" w:sz="4"/>
              <w:left w:val="single" w:color="000000" w:sz="4"/>
              <w:bottom w:val="single" w:color="000000" w:sz="4"/>
              <w:right w:val="single" w:color="000000" w:sz="4"/>
            </w:tcBorders>
            <w:shd w:fill="D9E2F3"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Người lưu</w:t>
            </w:r>
          </w:p>
        </w:tc>
        <w:tc>
          <w:tcPr>
            <w:tcW w:type="dxa" w:w="2400"/>
            <w:tcBorders>
              <w:top w:val="single" w:color="000000" w:sz="4"/>
              <w:left w:val="single" w:color="000000" w:sz="4"/>
              <w:bottom w:val="single" w:color="000000" w:sz="4"/>
              <w:right w:val="single" w:color="000000" w:sz="4"/>
            </w:tcBorders>
            <w:shd w:fill="D9E2F3"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Thời gian lưu</w:t>
            </w:r>
          </w:p>
        </w:tc>
      </w:tr>
      <w:tr>
        <w:tc>
          <w:tcPr>
            <w:tcW w:type="dxa" w:w="62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1</w:t>
            </w:r>
          </w:p>
        </w:tc>
        <w:tc>
          <w:tcPr>
            <w:tcW w:type="dxa" w:w="17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BM.09.01</w:t>
            </w:r>
          </w:p>
        </w:tc>
        <w:tc>
          <w:tcPr>
            <w:tcW w:type="dxa" w:w="244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Phiếu kết quả truy xuất nguồn gốc</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Trưởng BAT</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05 năm</w:t>
            </w:r>
          </w:p>
        </w:tc>
      </w:tr>
      <w:tr>
        <w:tc>
          <w:tcPr>
            <w:tcW w:type="dxa" w:w="62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2</w:t>
            </w:r>
          </w:p>
        </w:tc>
        <w:tc>
          <w:tcPr>
            <w:tcW w:type="dxa" w:w="17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BM.09.02</w:t>
            </w:r>
          </w:p>
        </w:tc>
        <w:tc>
          <w:tcPr>
            <w:tcW w:type="dxa" w:w="244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Báo cáo diễn tập truy xuất nguồn gốc</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Trưởng BAT</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05 năm</w:t>
            </w:r>
          </w:p>
        </w:tc>
      </w:tr>
      <w:tr>
        <w:tc>
          <w:tcPr>
            <w:tcW w:type="dxa" w:w="62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2"/>
                <w:szCs w:val="22"/>
              </w:rPr>
              <w:t xml:space="preserve">3</w:t>
            </w:r>
          </w:p>
        </w:tc>
        <w:tc>
          <w:tcPr>
            <w:tcW w:type="dxa" w:w="17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Theo BM.01.07</w:t>
            </w:r>
          </w:p>
        </w:tc>
        <w:tc>
          <w:tcPr>
            <w:tcW w:type="dxa" w:w="244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Phiếu yêu cầu hành động khắc phục (nếu phát sinh)</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Theo QT 01</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sz w:val="22"/>
                <w:szCs w:val="22"/>
              </w:rPr>
              <w:t xml:space="preserve">Theo QT 01</w:t>
            </w:r>
          </w:p>
        </w:tc>
      </w:tr>
    </w:tbl>
    <w:p>
      <w:pPr>
        <w:spacing w:after="60" w:before="60" w:line="320"/>
        <w:jc w:val="both"/>
      </w:pPr>
      <w:r>
        <w:rPr>
          <w:rFonts w:ascii="Times New Roman" w:cs="Times New Roman" w:eastAsia="Times New Roman" w:hAnsi="Times New Roman"/>
          <w:sz w:val="24"/>
          <w:szCs w:val="24"/>
        </w:rPr>
        <w:t xml:space="preserve"/>
      </w:r>
    </w:p>
    <w:p>
      <w:pPr>
        <w:spacing w:after="60" w:before="60" w:line="320"/>
        <w:jc w:val="both"/>
      </w:pPr>
      <w:r>
        <w:rPr>
          <w:rFonts w:ascii="Times New Roman" w:cs="Times New Roman" w:eastAsia="Times New Roman" w:hAnsi="Times New Roman"/>
          <w:i/>
          <w:iCs/>
          <w:sz w:val="24"/>
          <w:szCs w:val="24"/>
        </w:rPr>
        <w:t xml:space="preserve">Người soạn thảo:    Phòng Kế hoạch — Tổng hợp / Ban ATTP</w:t>
      </w:r>
    </w:p>
    <w:p>
      <w:pPr>
        <w:spacing w:after="60" w:before="60" w:line="320"/>
        <w:jc w:val="both"/>
      </w:pPr>
      <w:r>
        <w:rPr>
          <w:rFonts w:ascii="Times New Roman" w:cs="Times New Roman" w:eastAsia="Times New Roman" w:hAnsi="Times New Roman"/>
          <w:i/>
          <w:iCs/>
          <w:sz w:val="24"/>
          <w:szCs w:val="24"/>
        </w:rPr>
        <w:t xml:space="preserve">Người soát xét:        Trưởng Ban An toàn thực phẩm</w:t>
      </w:r>
    </w:p>
    <w:p>
      <w:pPr>
        <w:spacing w:after="60" w:before="60" w:line="320"/>
        <w:jc w:val="both"/>
      </w:pPr>
      <w:r>
        <w:rPr>
          <w:rFonts w:ascii="Times New Roman" w:cs="Times New Roman" w:eastAsia="Times New Roman" w:hAnsi="Times New Roman"/>
          <w:i/>
          <w:iCs/>
          <w:sz w:val="24"/>
          <w:szCs w:val="24"/>
        </w:rPr>
        <w:t xml:space="preserve">Người phê duyệt:    Giám đốc Công ty Cổ phần Hoàng Giang</w:t>
      </w:r>
    </w:p>
    <w:sectPr>
      <w:headerReference w:type="default" r:id="rId7"/>
      <w:footerReference w:type="default" r:id="rId8"/>
      <w:pgSz w:w="11906" w:h="16838" w:orient="portrait"/>
      <w:pgMar w:top="1100" w:right="1100" w:bottom="11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Trang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Times New Roman" w:cs="Times New Roman" w:eastAsia="Times New Roman" w:hAnsi="Times New Roman"/>
        <w:i/>
        <w:iCs/>
        <w:sz w:val="20"/>
        <w:szCs w:val="20"/>
      </w:rPr>
      <w:t xml:space="preserve">QT 09 — Truy xuất nguồn gốc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i/>
      <w:i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2026-05-06T07:34:19.081Z</dcterms:created>
  <dcterms:modified xsi:type="dcterms:W3CDTF">2026-05-06T07:34:19.081Z</dcterms:modified>
</cp:coreProperties>
</file>

<file path=docProps/custom.xml><?xml version="1.0" encoding="utf-8"?>
<Properties xmlns="http://schemas.openxmlformats.org/officeDocument/2006/custom-properties" xmlns:vt="http://schemas.openxmlformats.org/officeDocument/2006/docPropsVTypes"/>
</file>