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6907" w14:textId="77777777" w:rsidR="000D6B74" w:rsidRPr="000D6B74" w:rsidRDefault="000D6B74" w:rsidP="000D6B7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6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1.</w:t>
      </w:r>
      <w:r w:rsidRPr="000D6B74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performance of six architectural variants for simultaneous ventricle and WMH segmentation evaluated on independent test set (n=60 patients) using 5-fold cross-validation. Metrics represent mean±SD across 5 folds. Bold indicates best performance per metric.</w:t>
      </w:r>
    </w:p>
    <w:tbl>
      <w:tblPr>
        <w:tblStyle w:val="TableGrid"/>
        <w:tblW w:w="9512" w:type="dxa"/>
        <w:tblLook w:val="04A0" w:firstRow="1" w:lastRow="0" w:firstColumn="1" w:lastColumn="0" w:noHBand="0" w:noVBand="1"/>
      </w:tblPr>
      <w:tblGrid>
        <w:gridCol w:w="876"/>
        <w:gridCol w:w="3456"/>
        <w:gridCol w:w="1008"/>
        <w:gridCol w:w="1008"/>
        <w:gridCol w:w="1008"/>
        <w:gridCol w:w="1148"/>
        <w:gridCol w:w="1008"/>
      </w:tblGrid>
      <w:tr w:rsidR="000D6B74" w:rsidRPr="000D6B74" w14:paraId="1B6B49D4" w14:textId="77777777" w:rsidTr="009520D0">
        <w:tc>
          <w:tcPr>
            <w:tcW w:w="876" w:type="dxa"/>
            <w:vAlign w:val="center"/>
          </w:tcPr>
          <w:p w14:paraId="0FDC052B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Variant</w:t>
            </w:r>
          </w:p>
        </w:tc>
        <w:tc>
          <w:tcPr>
            <w:tcW w:w="3456" w:type="dxa"/>
            <w:vAlign w:val="center"/>
          </w:tcPr>
          <w:p w14:paraId="06BEEB03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Architecture</w:t>
            </w:r>
          </w:p>
        </w:tc>
        <w:tc>
          <w:tcPr>
            <w:tcW w:w="1008" w:type="dxa"/>
            <w:vAlign w:val="center"/>
          </w:tcPr>
          <w:p w14:paraId="654A81E4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hAnsiTheme="majorBidi" w:cstheme="majorBidi"/>
              </w:rPr>
              <w:t>mean DSC</w:t>
            </w:r>
          </w:p>
        </w:tc>
        <w:tc>
          <w:tcPr>
            <w:tcW w:w="1008" w:type="dxa"/>
            <w:vAlign w:val="center"/>
          </w:tcPr>
          <w:p w14:paraId="766603AE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hAnsiTheme="majorBidi" w:cstheme="majorBidi"/>
              </w:rPr>
              <w:t>mean IoU</w:t>
            </w:r>
          </w:p>
        </w:tc>
        <w:tc>
          <w:tcPr>
            <w:tcW w:w="1008" w:type="dxa"/>
            <w:vAlign w:val="center"/>
          </w:tcPr>
          <w:p w14:paraId="42A83414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hAnsiTheme="majorBidi" w:cstheme="majorBidi"/>
              </w:rPr>
              <w:t>mean HD95</w:t>
            </w:r>
          </w:p>
        </w:tc>
        <w:tc>
          <w:tcPr>
            <w:tcW w:w="1148" w:type="dxa"/>
            <w:vAlign w:val="center"/>
          </w:tcPr>
          <w:p w14:paraId="49E2C57F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hAnsiTheme="majorBidi" w:cstheme="majorBidi"/>
              </w:rPr>
              <w:t>mean Precision</w:t>
            </w:r>
          </w:p>
        </w:tc>
        <w:tc>
          <w:tcPr>
            <w:tcW w:w="1008" w:type="dxa"/>
            <w:vAlign w:val="center"/>
          </w:tcPr>
          <w:p w14:paraId="1BBF7800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hAnsiTheme="majorBidi" w:cstheme="majorBidi"/>
              </w:rPr>
            </w:pPr>
            <w:r w:rsidRPr="000D6B74">
              <w:rPr>
                <w:rFonts w:asciiTheme="majorBidi" w:hAnsiTheme="majorBidi" w:cstheme="majorBidi"/>
              </w:rPr>
              <w:t>mean Recall</w:t>
            </w:r>
          </w:p>
        </w:tc>
      </w:tr>
      <w:tr w:rsidR="000D6B74" w:rsidRPr="000D6B74" w14:paraId="6808AF81" w14:textId="77777777" w:rsidTr="009520D0">
        <w:tc>
          <w:tcPr>
            <w:tcW w:w="876" w:type="dxa"/>
            <w:vAlign w:val="center"/>
          </w:tcPr>
          <w:p w14:paraId="7DFC1BD5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V0</w:t>
            </w:r>
          </w:p>
        </w:tc>
        <w:tc>
          <w:tcPr>
            <w:tcW w:w="3456" w:type="dxa"/>
            <w:vAlign w:val="center"/>
          </w:tcPr>
          <w:p w14:paraId="4BC4C811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U-Net (WCE)</w:t>
            </w:r>
          </w:p>
        </w:tc>
        <w:tc>
          <w:tcPr>
            <w:tcW w:w="1008" w:type="dxa"/>
            <w:vAlign w:val="center"/>
          </w:tcPr>
          <w:p w14:paraId="573C2099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0.714 ±0.018</w:t>
            </w:r>
          </w:p>
        </w:tc>
        <w:tc>
          <w:tcPr>
            <w:tcW w:w="1008" w:type="dxa"/>
            <w:vAlign w:val="center"/>
          </w:tcPr>
          <w:p w14:paraId="38BB610E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0.601 ±0.020</w:t>
            </w:r>
          </w:p>
        </w:tc>
        <w:tc>
          <w:tcPr>
            <w:tcW w:w="1008" w:type="dxa"/>
            <w:vAlign w:val="center"/>
          </w:tcPr>
          <w:p w14:paraId="078716E7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6.50 ±0.46</w:t>
            </w:r>
          </w:p>
        </w:tc>
        <w:tc>
          <w:tcPr>
            <w:tcW w:w="1148" w:type="dxa"/>
            <w:vAlign w:val="center"/>
          </w:tcPr>
          <w:p w14:paraId="648653F6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0.616 ±0.020</w:t>
            </w:r>
          </w:p>
        </w:tc>
        <w:tc>
          <w:tcPr>
            <w:tcW w:w="1008" w:type="dxa"/>
            <w:vAlign w:val="center"/>
          </w:tcPr>
          <w:p w14:paraId="104FFF7A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0.937</w:t>
            </w: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±0.002</w:t>
            </w:r>
          </w:p>
        </w:tc>
      </w:tr>
      <w:tr w:rsidR="000D6B74" w:rsidRPr="000D6B74" w14:paraId="49E3900B" w14:textId="77777777" w:rsidTr="009520D0">
        <w:tc>
          <w:tcPr>
            <w:tcW w:w="876" w:type="dxa"/>
            <w:vAlign w:val="center"/>
          </w:tcPr>
          <w:p w14:paraId="3041CCF1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V1</w:t>
            </w:r>
          </w:p>
        </w:tc>
        <w:tc>
          <w:tcPr>
            <w:tcW w:w="3456" w:type="dxa"/>
            <w:vAlign w:val="center"/>
          </w:tcPr>
          <w:p w14:paraId="676014A9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Pix2Pix (WCE)</w:t>
            </w:r>
          </w:p>
        </w:tc>
        <w:tc>
          <w:tcPr>
            <w:tcW w:w="1008" w:type="dxa"/>
            <w:vAlign w:val="center"/>
          </w:tcPr>
          <w:p w14:paraId="6C0592CD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0.823 ±0.011</w:t>
            </w:r>
          </w:p>
        </w:tc>
        <w:tc>
          <w:tcPr>
            <w:tcW w:w="1008" w:type="dxa"/>
            <w:vAlign w:val="center"/>
          </w:tcPr>
          <w:p w14:paraId="2CDDA288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0.721 ±0.014</w:t>
            </w:r>
          </w:p>
        </w:tc>
        <w:tc>
          <w:tcPr>
            <w:tcW w:w="1008" w:type="dxa"/>
            <w:vAlign w:val="center"/>
          </w:tcPr>
          <w:p w14:paraId="4DB11026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5.31 ±0.20</w:t>
            </w:r>
          </w:p>
        </w:tc>
        <w:tc>
          <w:tcPr>
            <w:tcW w:w="1148" w:type="dxa"/>
            <w:vAlign w:val="center"/>
          </w:tcPr>
          <w:p w14:paraId="1CC56C5B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0.805 ±0.005</w:t>
            </w:r>
          </w:p>
        </w:tc>
        <w:tc>
          <w:tcPr>
            <w:tcW w:w="1008" w:type="dxa"/>
            <w:vAlign w:val="center"/>
          </w:tcPr>
          <w:p w14:paraId="5CDA9DC6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0.848 ±0.010</w:t>
            </w:r>
          </w:p>
        </w:tc>
      </w:tr>
      <w:tr w:rsidR="000D6B74" w:rsidRPr="000D6B74" w14:paraId="024608E3" w14:textId="77777777" w:rsidTr="009520D0">
        <w:tc>
          <w:tcPr>
            <w:tcW w:w="876" w:type="dxa"/>
            <w:vAlign w:val="center"/>
          </w:tcPr>
          <w:p w14:paraId="3A19CB0A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V2</w:t>
            </w:r>
          </w:p>
        </w:tc>
        <w:tc>
          <w:tcPr>
            <w:tcW w:w="3456" w:type="dxa"/>
            <w:vAlign w:val="center"/>
          </w:tcPr>
          <w:p w14:paraId="0A8F1EB2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Baseline Pix2Pix (UFL)</w:t>
            </w:r>
          </w:p>
        </w:tc>
        <w:tc>
          <w:tcPr>
            <w:tcW w:w="1008" w:type="dxa"/>
            <w:vAlign w:val="center"/>
          </w:tcPr>
          <w:p w14:paraId="2F9940E5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0.817 ±0.010</w:t>
            </w:r>
          </w:p>
        </w:tc>
        <w:tc>
          <w:tcPr>
            <w:tcW w:w="1008" w:type="dxa"/>
            <w:vAlign w:val="center"/>
          </w:tcPr>
          <w:p w14:paraId="255B6DCE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0.714 ±0.012</w:t>
            </w:r>
          </w:p>
        </w:tc>
        <w:tc>
          <w:tcPr>
            <w:tcW w:w="1008" w:type="dxa"/>
            <w:vAlign w:val="center"/>
          </w:tcPr>
          <w:p w14:paraId="3F903ECB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5.50 ±0.35</w:t>
            </w:r>
          </w:p>
        </w:tc>
        <w:tc>
          <w:tcPr>
            <w:tcW w:w="1148" w:type="dxa"/>
            <w:vAlign w:val="center"/>
          </w:tcPr>
          <w:p w14:paraId="1BC5CC1D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0.791 ±0.021</w:t>
            </w:r>
          </w:p>
        </w:tc>
        <w:tc>
          <w:tcPr>
            <w:tcW w:w="1008" w:type="dxa"/>
            <w:vAlign w:val="center"/>
          </w:tcPr>
          <w:p w14:paraId="0E342A43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0.850 ±0.019</w:t>
            </w:r>
          </w:p>
        </w:tc>
      </w:tr>
      <w:tr w:rsidR="000D6B74" w:rsidRPr="000D6B74" w14:paraId="011CD8AF" w14:textId="77777777" w:rsidTr="009520D0">
        <w:tc>
          <w:tcPr>
            <w:tcW w:w="876" w:type="dxa"/>
            <w:vAlign w:val="center"/>
          </w:tcPr>
          <w:p w14:paraId="53CF96F3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V3</w:t>
            </w:r>
          </w:p>
        </w:tc>
        <w:tc>
          <w:tcPr>
            <w:tcW w:w="3456" w:type="dxa"/>
            <w:vAlign w:val="center"/>
          </w:tcPr>
          <w:p w14:paraId="5DDEC1BE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Attention Discriminator</w:t>
            </w:r>
          </w:p>
        </w:tc>
        <w:tc>
          <w:tcPr>
            <w:tcW w:w="1008" w:type="dxa"/>
            <w:vAlign w:val="center"/>
          </w:tcPr>
          <w:p w14:paraId="45BB8238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0.824 ±0.008</w:t>
            </w:r>
          </w:p>
        </w:tc>
        <w:tc>
          <w:tcPr>
            <w:tcW w:w="1008" w:type="dxa"/>
            <w:vAlign w:val="center"/>
          </w:tcPr>
          <w:p w14:paraId="457F8346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0.723 ±0.011</w:t>
            </w:r>
          </w:p>
        </w:tc>
        <w:tc>
          <w:tcPr>
            <w:tcW w:w="1008" w:type="dxa"/>
            <w:vAlign w:val="center"/>
          </w:tcPr>
          <w:p w14:paraId="47DBE19B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5.23 ±0.31</w:t>
            </w:r>
          </w:p>
        </w:tc>
        <w:tc>
          <w:tcPr>
            <w:tcW w:w="1148" w:type="dxa"/>
            <w:vAlign w:val="center"/>
          </w:tcPr>
          <w:p w14:paraId="596AD498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0.807 ±0.014</w:t>
            </w:r>
          </w:p>
        </w:tc>
        <w:tc>
          <w:tcPr>
            <w:tcW w:w="1008" w:type="dxa"/>
            <w:vAlign w:val="center"/>
          </w:tcPr>
          <w:p w14:paraId="726AAA86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0.843 ±0.009</w:t>
            </w:r>
          </w:p>
        </w:tc>
      </w:tr>
      <w:tr w:rsidR="000D6B74" w:rsidRPr="000D6B74" w14:paraId="61F1CD50" w14:textId="77777777" w:rsidTr="009520D0">
        <w:tc>
          <w:tcPr>
            <w:tcW w:w="876" w:type="dxa"/>
            <w:vAlign w:val="center"/>
          </w:tcPr>
          <w:p w14:paraId="4AB16ABF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V4</w:t>
            </w:r>
          </w:p>
        </w:tc>
        <w:tc>
          <w:tcPr>
            <w:tcW w:w="3456" w:type="dxa"/>
            <w:vAlign w:val="center"/>
          </w:tcPr>
          <w:p w14:paraId="1358EB92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Adaptive Hybrid Loss</w:t>
            </w:r>
          </w:p>
        </w:tc>
        <w:tc>
          <w:tcPr>
            <w:tcW w:w="1008" w:type="dxa"/>
            <w:vAlign w:val="center"/>
          </w:tcPr>
          <w:p w14:paraId="5551F83C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0.844 ±0.002</w:t>
            </w:r>
          </w:p>
        </w:tc>
        <w:tc>
          <w:tcPr>
            <w:tcW w:w="1008" w:type="dxa"/>
            <w:vAlign w:val="center"/>
          </w:tcPr>
          <w:p w14:paraId="44ACF87A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0.750 ±0.003</w:t>
            </w:r>
          </w:p>
        </w:tc>
        <w:tc>
          <w:tcPr>
            <w:tcW w:w="1008" w:type="dxa"/>
            <w:vAlign w:val="center"/>
          </w:tcPr>
          <w:p w14:paraId="3AC542A0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4.81</w:t>
            </w: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±0.05</w:t>
            </w:r>
          </w:p>
        </w:tc>
        <w:tc>
          <w:tcPr>
            <w:tcW w:w="1148" w:type="dxa"/>
            <w:vAlign w:val="center"/>
          </w:tcPr>
          <w:p w14:paraId="3C99D9F4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0.845 ±0.009</w:t>
            </w:r>
          </w:p>
        </w:tc>
        <w:tc>
          <w:tcPr>
            <w:tcW w:w="1008" w:type="dxa"/>
            <w:vAlign w:val="center"/>
          </w:tcPr>
          <w:p w14:paraId="754B39B5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0.843 ±0.010</w:t>
            </w:r>
          </w:p>
        </w:tc>
      </w:tr>
      <w:tr w:rsidR="000D6B74" w:rsidRPr="00C71F2B" w14:paraId="518DB64D" w14:textId="77777777" w:rsidTr="009520D0">
        <w:tc>
          <w:tcPr>
            <w:tcW w:w="876" w:type="dxa"/>
            <w:vAlign w:val="center"/>
          </w:tcPr>
          <w:p w14:paraId="145E59F2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V5</w:t>
            </w:r>
          </w:p>
        </w:tc>
        <w:tc>
          <w:tcPr>
            <w:tcW w:w="3456" w:type="dxa"/>
            <w:vAlign w:val="center"/>
          </w:tcPr>
          <w:p w14:paraId="02AD5144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Pix2Pix + Attention Discriminator + Adaptive Hybrid Loss</w:t>
            </w:r>
          </w:p>
        </w:tc>
        <w:tc>
          <w:tcPr>
            <w:tcW w:w="1008" w:type="dxa"/>
            <w:vAlign w:val="center"/>
          </w:tcPr>
          <w:p w14:paraId="4E134198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0.852</w:t>
            </w: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±0.004</w:t>
            </w:r>
          </w:p>
        </w:tc>
        <w:tc>
          <w:tcPr>
            <w:tcW w:w="1008" w:type="dxa"/>
            <w:vAlign w:val="center"/>
          </w:tcPr>
          <w:p w14:paraId="53C83E49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0.760</w:t>
            </w: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±0.006</w:t>
            </w:r>
          </w:p>
        </w:tc>
        <w:tc>
          <w:tcPr>
            <w:tcW w:w="1008" w:type="dxa"/>
            <w:vAlign w:val="center"/>
          </w:tcPr>
          <w:p w14:paraId="440A4DBC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4.87 ±0.13</w:t>
            </w:r>
          </w:p>
        </w:tc>
        <w:tc>
          <w:tcPr>
            <w:tcW w:w="1148" w:type="dxa"/>
            <w:vAlign w:val="center"/>
          </w:tcPr>
          <w:p w14:paraId="5A550F9E" w14:textId="77777777" w:rsidR="000D6B74" w:rsidRPr="000D6B74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0.856</w:t>
            </w: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±0.006</w:t>
            </w:r>
          </w:p>
        </w:tc>
        <w:tc>
          <w:tcPr>
            <w:tcW w:w="1008" w:type="dxa"/>
            <w:vAlign w:val="center"/>
          </w:tcPr>
          <w:p w14:paraId="0C4516F0" w14:textId="77777777" w:rsidR="000D6B74" w:rsidRPr="00C71F2B" w:rsidRDefault="000D6B74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0D6B7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0.850 ±0.006</w:t>
            </w:r>
          </w:p>
        </w:tc>
      </w:tr>
    </w:tbl>
    <w:p w14:paraId="22189EBD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74"/>
    <w:rsid w:val="0000624E"/>
    <w:rsid w:val="000D6B74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9173"/>
  <w15:chartTrackingRefBased/>
  <w15:docId w15:val="{0BB05699-F66A-402C-A77B-C90DA3DA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7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D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D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74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D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74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D6B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7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D6B7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2026-02-07T16:21:00Z</dcterms:created>
  <dcterms:modified xsi:type="dcterms:W3CDTF">2026-02-07T16:21:00Z</dcterms:modified>
</cp:coreProperties>
</file>