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C68F" w14:textId="77777777" w:rsidR="001F11C2" w:rsidRPr="001F11C2" w:rsidRDefault="001F11C2" w:rsidP="001F11C2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1F11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2.</w:t>
      </w:r>
      <w:r w:rsidRPr="001F11C2">
        <w:rPr>
          <w:rFonts w:ascii="Times New Roman" w:eastAsia="Times New Roman" w:hAnsi="Times New Roman" w:cs="Times New Roman"/>
          <w:kern w:val="0"/>
          <w14:ligatures w14:val="none"/>
        </w:rPr>
        <w:t xml:space="preserve"> Segmentation performance metrics for abnormal white matter hyperintensities on </w:t>
      </w:r>
      <w:r w:rsidRPr="001F11C2">
        <w:rPr>
          <w:rFonts w:asciiTheme="majorBidi" w:eastAsia="Times New Roman" w:hAnsiTheme="majorBidi" w:cstheme="majorBidi"/>
          <w:kern w:val="0"/>
          <w14:ligatures w14:val="none"/>
        </w:rPr>
        <w:t xml:space="preserve">institutional </w:t>
      </w:r>
      <w:r w:rsidRPr="001F11C2">
        <w:rPr>
          <w:rFonts w:ascii="Times New Roman" w:eastAsia="Times New Roman" w:hAnsi="Times New Roman" w:cs="Times New Roman"/>
          <w:kern w:val="0"/>
          <w14:ligatures w14:val="none"/>
        </w:rPr>
        <w:t>and external validation sets. Metrics represent mean ± standard deviation across folds for the final segmentation model (V5). n: number of cases.</w:t>
      </w:r>
    </w:p>
    <w:tbl>
      <w:tblPr>
        <w:tblStyle w:val="TableGrid"/>
        <w:tblW w:w="5453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0"/>
        <w:gridCol w:w="832"/>
        <w:gridCol w:w="832"/>
        <w:gridCol w:w="754"/>
        <w:gridCol w:w="1035"/>
        <w:gridCol w:w="832"/>
      </w:tblGrid>
      <w:tr w:rsidR="001F11C2" w:rsidRPr="001F11C2" w14:paraId="6F247C1F" w14:textId="77777777" w:rsidTr="009520D0">
        <w:tc>
          <w:tcPr>
            <w:tcW w:w="1280" w:type="dxa"/>
            <w:vAlign w:val="center"/>
          </w:tcPr>
          <w:p w14:paraId="2B813F15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Validation Set</w:t>
            </w:r>
          </w:p>
        </w:tc>
        <w:tc>
          <w:tcPr>
            <w:tcW w:w="720" w:type="dxa"/>
            <w:vAlign w:val="center"/>
          </w:tcPr>
          <w:p w14:paraId="185DC805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hAnsiTheme="majorBidi" w:cstheme="majorBidi"/>
              </w:rPr>
              <w:t>mean DSC</w:t>
            </w:r>
          </w:p>
        </w:tc>
        <w:tc>
          <w:tcPr>
            <w:tcW w:w="832" w:type="dxa"/>
            <w:vAlign w:val="center"/>
          </w:tcPr>
          <w:p w14:paraId="60CF34EA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hAnsiTheme="majorBidi" w:cstheme="majorBidi"/>
              </w:rPr>
              <w:t>mean IoU</w:t>
            </w:r>
          </w:p>
        </w:tc>
        <w:tc>
          <w:tcPr>
            <w:tcW w:w="754" w:type="dxa"/>
            <w:vAlign w:val="center"/>
          </w:tcPr>
          <w:p w14:paraId="082DF1B1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hAnsiTheme="majorBidi" w:cstheme="majorBidi"/>
              </w:rPr>
              <w:t>mean HD95</w:t>
            </w:r>
          </w:p>
        </w:tc>
        <w:tc>
          <w:tcPr>
            <w:tcW w:w="1035" w:type="dxa"/>
            <w:vAlign w:val="center"/>
          </w:tcPr>
          <w:p w14:paraId="659DD05E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hAnsiTheme="majorBidi" w:cstheme="majorBidi"/>
              </w:rPr>
              <w:t>mean Precision</w:t>
            </w:r>
          </w:p>
        </w:tc>
        <w:tc>
          <w:tcPr>
            <w:tcW w:w="832" w:type="dxa"/>
            <w:vAlign w:val="center"/>
          </w:tcPr>
          <w:p w14:paraId="724F8169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hAnsiTheme="majorBidi" w:cstheme="majorBidi"/>
              </w:rPr>
            </w:pPr>
            <w:r w:rsidRPr="001F11C2">
              <w:rPr>
                <w:rFonts w:asciiTheme="majorBidi" w:hAnsiTheme="majorBidi" w:cstheme="majorBidi"/>
              </w:rPr>
              <w:t>mean Recall</w:t>
            </w:r>
          </w:p>
        </w:tc>
      </w:tr>
      <w:tr w:rsidR="001F11C2" w:rsidRPr="001F11C2" w14:paraId="1A5CCBC3" w14:textId="77777777" w:rsidTr="009520D0">
        <w:tc>
          <w:tcPr>
            <w:tcW w:w="1280" w:type="dxa"/>
            <w:vAlign w:val="center"/>
          </w:tcPr>
          <w:p w14:paraId="65BAAF84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Institutional (n=9)</w:t>
            </w:r>
          </w:p>
        </w:tc>
        <w:tc>
          <w:tcPr>
            <w:tcW w:w="720" w:type="dxa"/>
            <w:vAlign w:val="center"/>
          </w:tcPr>
          <w:p w14:paraId="45EC3757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0.824 ±0.018</w:t>
            </w:r>
          </w:p>
        </w:tc>
        <w:tc>
          <w:tcPr>
            <w:tcW w:w="832" w:type="dxa"/>
            <w:vAlign w:val="center"/>
          </w:tcPr>
          <w:p w14:paraId="1213DD06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0.701 ±0.025</w:t>
            </w:r>
          </w:p>
        </w:tc>
        <w:tc>
          <w:tcPr>
            <w:tcW w:w="754" w:type="dxa"/>
            <w:vAlign w:val="center"/>
          </w:tcPr>
          <w:p w14:paraId="1F12EF8C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3.89 ±0.76</w:t>
            </w:r>
          </w:p>
        </w:tc>
        <w:tc>
          <w:tcPr>
            <w:tcW w:w="1035" w:type="dxa"/>
            <w:vAlign w:val="center"/>
          </w:tcPr>
          <w:p w14:paraId="347C8276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0.836 ±0.039</w:t>
            </w:r>
          </w:p>
        </w:tc>
        <w:tc>
          <w:tcPr>
            <w:tcW w:w="832" w:type="dxa"/>
            <w:vAlign w:val="center"/>
          </w:tcPr>
          <w:p w14:paraId="27A5AFFA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0.814 ±0.016</w:t>
            </w:r>
          </w:p>
        </w:tc>
      </w:tr>
      <w:tr w:rsidR="001F11C2" w:rsidRPr="00C71F2B" w14:paraId="1809358A" w14:textId="77777777" w:rsidTr="009520D0">
        <w:tc>
          <w:tcPr>
            <w:tcW w:w="1280" w:type="dxa"/>
            <w:vAlign w:val="center"/>
          </w:tcPr>
          <w:p w14:paraId="7501A552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External (n=6)</w:t>
            </w:r>
          </w:p>
        </w:tc>
        <w:tc>
          <w:tcPr>
            <w:tcW w:w="720" w:type="dxa"/>
            <w:vAlign w:val="center"/>
          </w:tcPr>
          <w:p w14:paraId="5B301E71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0.831 ±0.042</w:t>
            </w:r>
          </w:p>
        </w:tc>
        <w:tc>
          <w:tcPr>
            <w:tcW w:w="832" w:type="dxa"/>
            <w:vAlign w:val="center"/>
          </w:tcPr>
          <w:p w14:paraId="600CC55E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0.712 ±0.060</w:t>
            </w:r>
          </w:p>
        </w:tc>
        <w:tc>
          <w:tcPr>
            <w:tcW w:w="754" w:type="dxa"/>
            <w:vAlign w:val="center"/>
          </w:tcPr>
          <w:p w14:paraId="64FC8BB3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4.33 ±1.24</w:t>
            </w:r>
          </w:p>
        </w:tc>
        <w:tc>
          <w:tcPr>
            <w:tcW w:w="1035" w:type="dxa"/>
            <w:vAlign w:val="center"/>
          </w:tcPr>
          <w:p w14:paraId="47884917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0.882 ±0.007</w:t>
            </w:r>
          </w:p>
        </w:tc>
        <w:tc>
          <w:tcPr>
            <w:tcW w:w="832" w:type="dxa"/>
            <w:vAlign w:val="center"/>
          </w:tcPr>
          <w:p w14:paraId="5268C2E2" w14:textId="77777777" w:rsidR="001F11C2" w:rsidRPr="001F11C2" w:rsidRDefault="001F11C2" w:rsidP="009520D0">
            <w:pPr>
              <w:spacing w:before="100" w:beforeAutospacing="1" w:after="100" w:afterAutospacing="1" w:line="480" w:lineRule="auto"/>
              <w:jc w:val="center"/>
              <w:outlineLvl w:val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1F11C2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0.788 ±0.077</w:t>
            </w:r>
          </w:p>
        </w:tc>
      </w:tr>
    </w:tbl>
    <w:p w14:paraId="3457B604" w14:textId="77777777" w:rsidR="001F11C2" w:rsidRDefault="001F11C2" w:rsidP="001F11C2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07132E9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C2"/>
    <w:rsid w:val="0000624E"/>
    <w:rsid w:val="001F11C2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CFC8"/>
  <w15:chartTrackingRefBased/>
  <w15:docId w15:val="{0660ABD0-5D4B-46F6-874E-79311E02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1C2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F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1F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C2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1F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C2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F11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C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F11C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2026-02-07T16:22:00Z</dcterms:created>
  <dcterms:modified xsi:type="dcterms:W3CDTF">2026-02-07T16:22:00Z</dcterms:modified>
</cp:coreProperties>
</file>