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FAB86" w14:textId="77777777" w:rsidR="00256CFC" w:rsidRPr="00256CFC" w:rsidRDefault="00256CFC" w:rsidP="00256CFC">
      <w:pPr>
        <w:spacing w:before="100" w:beforeAutospacing="1" w:after="100" w:afterAutospacing="1" w:line="480" w:lineRule="auto"/>
        <w:jc w:val="both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5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4.</w:t>
      </w:r>
      <w:r w:rsidRPr="00256CFC">
        <w:rPr>
          <w:rFonts w:ascii="Times New Roman" w:eastAsia="Times New Roman" w:hAnsi="Times New Roman" w:cs="Times New Roman"/>
          <w:kern w:val="0"/>
          <w14:ligatures w14:val="none"/>
        </w:rPr>
        <w:t xml:space="preserve"> Lesion count correlation and accuracy metrics for external validation set (n=6 cases from MSSEG2016 dataset). Cases represent three different imaging centers with distinct scanner types and acquisition protocols. AI and expert counts represent per-case means across three neuroradiologists. r: Pearson correlation coefficient; CI: confidence interval; MAE: mean absolute error. All correlations significant at p&lt;0.05.</w:t>
      </w:r>
    </w:p>
    <w:tbl>
      <w:tblPr>
        <w:tblW w:w="971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656"/>
        <w:gridCol w:w="1224"/>
        <w:gridCol w:w="1224"/>
        <w:gridCol w:w="1218"/>
        <w:gridCol w:w="1584"/>
        <w:gridCol w:w="950"/>
        <w:gridCol w:w="705"/>
        <w:gridCol w:w="1152"/>
      </w:tblGrid>
      <w:tr w:rsidR="00256CFC" w:rsidRPr="00256CFC" w14:paraId="6C1521F4" w14:textId="77777777" w:rsidTr="009520D0">
        <w:trPr>
          <w:trHeight w:val="432"/>
        </w:trPr>
        <w:tc>
          <w:tcPr>
            <w:tcW w:w="1656" w:type="dxa"/>
            <w:noWrap/>
            <w:vAlign w:val="center"/>
            <w:hideMark/>
          </w:tcPr>
          <w:p w14:paraId="219414B7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Lesion Location</w:t>
            </w:r>
          </w:p>
        </w:tc>
        <w:tc>
          <w:tcPr>
            <w:tcW w:w="1224" w:type="dxa"/>
            <w:noWrap/>
            <w:vAlign w:val="center"/>
            <w:hideMark/>
          </w:tcPr>
          <w:p w14:paraId="48EB6C93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AI Count</w:t>
            </w:r>
          </w:p>
        </w:tc>
        <w:tc>
          <w:tcPr>
            <w:tcW w:w="1224" w:type="dxa"/>
            <w:noWrap/>
            <w:vAlign w:val="center"/>
            <w:hideMark/>
          </w:tcPr>
          <w:p w14:paraId="0AB110CF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Expert Count</w:t>
            </w:r>
          </w:p>
        </w:tc>
        <w:tc>
          <w:tcPr>
            <w:tcW w:w="1218" w:type="dxa"/>
            <w:noWrap/>
            <w:vAlign w:val="center"/>
            <w:hideMark/>
          </w:tcPr>
          <w:p w14:paraId="45DE7AAA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Correlation (r)</w:t>
            </w:r>
          </w:p>
        </w:tc>
        <w:tc>
          <w:tcPr>
            <w:tcW w:w="1584" w:type="dxa"/>
            <w:noWrap/>
            <w:vAlign w:val="center"/>
            <w:hideMark/>
          </w:tcPr>
          <w:p w14:paraId="03149EB5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r 95% CI</w:t>
            </w:r>
          </w:p>
        </w:tc>
        <w:tc>
          <w:tcPr>
            <w:tcW w:w="950" w:type="dxa"/>
            <w:noWrap/>
            <w:vAlign w:val="center"/>
            <w:hideMark/>
          </w:tcPr>
          <w:p w14:paraId="49193C27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705" w:type="dxa"/>
            <w:noWrap/>
            <w:vAlign w:val="center"/>
            <w:hideMark/>
          </w:tcPr>
          <w:p w14:paraId="68257910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MAE</w:t>
            </w:r>
          </w:p>
        </w:tc>
        <w:tc>
          <w:tcPr>
            <w:tcW w:w="1152" w:type="dxa"/>
            <w:noWrap/>
            <w:vAlign w:val="center"/>
            <w:hideMark/>
          </w:tcPr>
          <w:p w14:paraId="00A243F1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MAE 95% CI</w:t>
            </w:r>
          </w:p>
        </w:tc>
      </w:tr>
      <w:tr w:rsidR="00256CFC" w:rsidRPr="00256CFC" w14:paraId="05BE87EE" w14:textId="77777777" w:rsidTr="009520D0">
        <w:trPr>
          <w:trHeight w:val="432"/>
        </w:trPr>
        <w:tc>
          <w:tcPr>
            <w:tcW w:w="1656" w:type="dxa"/>
            <w:noWrap/>
            <w:vAlign w:val="center"/>
            <w:hideMark/>
          </w:tcPr>
          <w:p w14:paraId="01C490B2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Periventricular</w:t>
            </w:r>
          </w:p>
        </w:tc>
        <w:tc>
          <w:tcPr>
            <w:tcW w:w="1224" w:type="dxa"/>
            <w:noWrap/>
            <w:vAlign w:val="center"/>
            <w:hideMark/>
          </w:tcPr>
          <w:p w14:paraId="6CEFAFD6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hAnsiTheme="majorBidi" w:cstheme="majorBidi"/>
                <w:color w:val="000000"/>
              </w:rPr>
              <w:t>18.8 ± 12.7</w:t>
            </w:r>
          </w:p>
        </w:tc>
        <w:tc>
          <w:tcPr>
            <w:tcW w:w="1224" w:type="dxa"/>
            <w:noWrap/>
            <w:vAlign w:val="center"/>
            <w:hideMark/>
          </w:tcPr>
          <w:p w14:paraId="4239A745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hAnsiTheme="majorBidi" w:cstheme="majorBidi"/>
                <w:color w:val="000000"/>
              </w:rPr>
              <w:t>20.2 ± 14.0</w:t>
            </w:r>
          </w:p>
        </w:tc>
        <w:tc>
          <w:tcPr>
            <w:tcW w:w="1218" w:type="dxa"/>
            <w:noWrap/>
            <w:vAlign w:val="center"/>
            <w:hideMark/>
          </w:tcPr>
          <w:p w14:paraId="38D2DCA8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hAnsiTheme="majorBidi" w:cstheme="majorBidi"/>
                <w:color w:val="000000"/>
              </w:rPr>
              <w:t>0.935</w:t>
            </w:r>
          </w:p>
        </w:tc>
        <w:tc>
          <w:tcPr>
            <w:tcW w:w="1584" w:type="dxa"/>
            <w:noWrap/>
            <w:vAlign w:val="center"/>
            <w:hideMark/>
          </w:tcPr>
          <w:p w14:paraId="0C67E3AA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hAnsiTheme="majorBidi" w:cstheme="majorBidi"/>
                <w:color w:val="000000"/>
              </w:rPr>
              <w:t>[0.510, 0.993]</w:t>
            </w:r>
          </w:p>
        </w:tc>
        <w:tc>
          <w:tcPr>
            <w:tcW w:w="950" w:type="dxa"/>
            <w:noWrap/>
            <w:vAlign w:val="center"/>
            <w:hideMark/>
          </w:tcPr>
          <w:p w14:paraId="0895A0F1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hAnsiTheme="majorBidi" w:cstheme="majorBidi"/>
                <w:color w:val="000000"/>
              </w:rPr>
              <w:t>0.0063</w:t>
            </w:r>
          </w:p>
        </w:tc>
        <w:tc>
          <w:tcPr>
            <w:tcW w:w="705" w:type="dxa"/>
            <w:noWrap/>
            <w:vAlign w:val="center"/>
            <w:hideMark/>
          </w:tcPr>
          <w:p w14:paraId="6F4BE928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hAnsiTheme="majorBidi" w:cstheme="majorBidi"/>
                <w:color w:val="000000"/>
              </w:rPr>
              <w:t>3.4</w:t>
            </w:r>
          </w:p>
        </w:tc>
        <w:tc>
          <w:tcPr>
            <w:tcW w:w="1152" w:type="dxa"/>
            <w:noWrap/>
            <w:vAlign w:val="center"/>
            <w:hideMark/>
          </w:tcPr>
          <w:p w14:paraId="4E3C98CB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hAnsiTheme="majorBidi" w:cstheme="majorBidi"/>
                <w:color w:val="000000"/>
              </w:rPr>
              <w:t>[1.4, 6.4]</w:t>
            </w:r>
          </w:p>
        </w:tc>
      </w:tr>
      <w:tr w:rsidR="00256CFC" w:rsidRPr="00256CFC" w14:paraId="6235B0AD" w14:textId="77777777" w:rsidTr="009520D0">
        <w:trPr>
          <w:trHeight w:val="432"/>
        </w:trPr>
        <w:tc>
          <w:tcPr>
            <w:tcW w:w="1656" w:type="dxa"/>
            <w:noWrap/>
            <w:vAlign w:val="center"/>
            <w:hideMark/>
          </w:tcPr>
          <w:p w14:paraId="79716350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Paraventricular</w:t>
            </w:r>
          </w:p>
        </w:tc>
        <w:tc>
          <w:tcPr>
            <w:tcW w:w="1224" w:type="dxa"/>
            <w:noWrap/>
            <w:vAlign w:val="center"/>
            <w:hideMark/>
          </w:tcPr>
          <w:p w14:paraId="0DFBFA90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hAnsiTheme="majorBidi" w:cstheme="majorBidi"/>
                <w:color w:val="000000"/>
              </w:rPr>
              <w:t>15.2 ± 5.5</w:t>
            </w:r>
          </w:p>
        </w:tc>
        <w:tc>
          <w:tcPr>
            <w:tcW w:w="1224" w:type="dxa"/>
            <w:noWrap/>
            <w:vAlign w:val="center"/>
            <w:hideMark/>
          </w:tcPr>
          <w:p w14:paraId="16C81B97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hAnsiTheme="majorBidi" w:cstheme="majorBidi"/>
                <w:color w:val="000000"/>
              </w:rPr>
              <w:t>17.1 ± 9.4</w:t>
            </w:r>
          </w:p>
        </w:tc>
        <w:tc>
          <w:tcPr>
            <w:tcW w:w="1218" w:type="dxa"/>
            <w:noWrap/>
            <w:vAlign w:val="center"/>
            <w:hideMark/>
          </w:tcPr>
          <w:p w14:paraId="15D728F4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hAnsiTheme="majorBidi" w:cstheme="majorBidi"/>
                <w:color w:val="000000"/>
              </w:rPr>
              <w:t>0.925</w:t>
            </w:r>
          </w:p>
        </w:tc>
        <w:tc>
          <w:tcPr>
            <w:tcW w:w="1584" w:type="dxa"/>
            <w:noWrap/>
            <w:vAlign w:val="center"/>
            <w:hideMark/>
          </w:tcPr>
          <w:p w14:paraId="7A4ADBD9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hAnsiTheme="majorBidi" w:cstheme="majorBidi"/>
                <w:color w:val="000000"/>
              </w:rPr>
              <w:t>[0.455, 0.992]</w:t>
            </w:r>
          </w:p>
        </w:tc>
        <w:tc>
          <w:tcPr>
            <w:tcW w:w="950" w:type="dxa"/>
            <w:noWrap/>
            <w:vAlign w:val="center"/>
            <w:hideMark/>
          </w:tcPr>
          <w:p w14:paraId="24E1116A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hAnsiTheme="majorBidi" w:cstheme="majorBidi"/>
                <w:color w:val="000000"/>
              </w:rPr>
              <w:t>0.0082</w:t>
            </w:r>
          </w:p>
        </w:tc>
        <w:tc>
          <w:tcPr>
            <w:tcW w:w="705" w:type="dxa"/>
            <w:noWrap/>
            <w:vAlign w:val="center"/>
            <w:hideMark/>
          </w:tcPr>
          <w:p w14:paraId="6965D377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hAnsiTheme="majorBidi" w:cstheme="majorBidi"/>
                <w:color w:val="000000"/>
              </w:rPr>
              <w:t>4.3</w:t>
            </w:r>
          </w:p>
        </w:tc>
        <w:tc>
          <w:tcPr>
            <w:tcW w:w="1152" w:type="dxa"/>
            <w:noWrap/>
            <w:vAlign w:val="center"/>
            <w:hideMark/>
          </w:tcPr>
          <w:p w14:paraId="026E72C5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hAnsiTheme="majorBidi" w:cstheme="majorBidi"/>
                <w:color w:val="000000"/>
              </w:rPr>
              <w:t>[2.5, 6.1]</w:t>
            </w:r>
          </w:p>
        </w:tc>
      </w:tr>
      <w:tr w:rsidR="00256CFC" w:rsidRPr="00256CFC" w14:paraId="39E636F7" w14:textId="77777777" w:rsidTr="009520D0">
        <w:trPr>
          <w:trHeight w:val="432"/>
        </w:trPr>
        <w:tc>
          <w:tcPr>
            <w:tcW w:w="1656" w:type="dxa"/>
            <w:noWrap/>
            <w:vAlign w:val="center"/>
            <w:hideMark/>
          </w:tcPr>
          <w:p w14:paraId="40C7D722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Juxtacortical</w:t>
            </w:r>
          </w:p>
        </w:tc>
        <w:tc>
          <w:tcPr>
            <w:tcW w:w="1224" w:type="dxa"/>
            <w:noWrap/>
            <w:vAlign w:val="center"/>
            <w:hideMark/>
          </w:tcPr>
          <w:p w14:paraId="4D950E9D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hAnsiTheme="majorBidi" w:cstheme="majorBidi"/>
                <w:color w:val="000000"/>
              </w:rPr>
              <w:t>4.3 ± 2.6</w:t>
            </w:r>
          </w:p>
        </w:tc>
        <w:tc>
          <w:tcPr>
            <w:tcW w:w="1224" w:type="dxa"/>
            <w:noWrap/>
            <w:vAlign w:val="center"/>
            <w:hideMark/>
          </w:tcPr>
          <w:p w14:paraId="6A5E8003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hAnsiTheme="majorBidi" w:cstheme="majorBidi"/>
                <w:color w:val="000000"/>
              </w:rPr>
              <w:t>2.6 ± 1.6</w:t>
            </w:r>
          </w:p>
        </w:tc>
        <w:tc>
          <w:tcPr>
            <w:tcW w:w="1218" w:type="dxa"/>
            <w:noWrap/>
            <w:vAlign w:val="center"/>
            <w:hideMark/>
          </w:tcPr>
          <w:p w14:paraId="4661F145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hAnsiTheme="majorBidi" w:cstheme="majorBidi"/>
                <w:color w:val="000000"/>
              </w:rPr>
              <w:t>0.906</w:t>
            </w:r>
          </w:p>
        </w:tc>
        <w:tc>
          <w:tcPr>
            <w:tcW w:w="1584" w:type="dxa"/>
            <w:noWrap/>
            <w:vAlign w:val="center"/>
            <w:hideMark/>
          </w:tcPr>
          <w:p w14:paraId="3671B969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hAnsiTheme="majorBidi" w:cstheme="majorBidi"/>
                <w:color w:val="000000"/>
              </w:rPr>
              <w:t>[0.355, 0.990]</w:t>
            </w:r>
          </w:p>
        </w:tc>
        <w:tc>
          <w:tcPr>
            <w:tcW w:w="950" w:type="dxa"/>
            <w:noWrap/>
            <w:vAlign w:val="center"/>
            <w:hideMark/>
          </w:tcPr>
          <w:p w14:paraId="43E2C6B6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hAnsiTheme="majorBidi" w:cstheme="majorBidi"/>
                <w:color w:val="000000"/>
              </w:rPr>
              <w:t>0.0129</w:t>
            </w:r>
          </w:p>
        </w:tc>
        <w:tc>
          <w:tcPr>
            <w:tcW w:w="705" w:type="dxa"/>
            <w:noWrap/>
            <w:vAlign w:val="center"/>
            <w:hideMark/>
          </w:tcPr>
          <w:p w14:paraId="6DEE1E96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hAnsiTheme="majorBidi" w:cstheme="majorBidi"/>
                <w:color w:val="000000"/>
              </w:rPr>
              <w:t>1.8</w:t>
            </w:r>
          </w:p>
        </w:tc>
        <w:tc>
          <w:tcPr>
            <w:tcW w:w="1152" w:type="dxa"/>
            <w:noWrap/>
            <w:vAlign w:val="center"/>
            <w:hideMark/>
          </w:tcPr>
          <w:p w14:paraId="631864F7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hAnsiTheme="majorBidi" w:cstheme="majorBidi"/>
                <w:color w:val="000000"/>
              </w:rPr>
              <w:t>[1.1, 2.8]</w:t>
            </w:r>
          </w:p>
        </w:tc>
      </w:tr>
      <w:tr w:rsidR="00256CFC" w:rsidRPr="003808BD" w14:paraId="0E2B9291" w14:textId="77777777" w:rsidTr="009520D0">
        <w:trPr>
          <w:trHeight w:val="432"/>
        </w:trPr>
        <w:tc>
          <w:tcPr>
            <w:tcW w:w="1656" w:type="dxa"/>
            <w:noWrap/>
            <w:vAlign w:val="center"/>
            <w:hideMark/>
          </w:tcPr>
          <w:p w14:paraId="4FD77666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Total Lesions</w:t>
            </w:r>
          </w:p>
        </w:tc>
        <w:tc>
          <w:tcPr>
            <w:tcW w:w="1224" w:type="dxa"/>
            <w:noWrap/>
            <w:vAlign w:val="center"/>
            <w:hideMark/>
          </w:tcPr>
          <w:p w14:paraId="17E60AA3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hAnsiTheme="majorBidi" w:cstheme="majorBidi"/>
                <w:color w:val="000000"/>
              </w:rPr>
              <w:t>38.3 ± 16.2</w:t>
            </w:r>
          </w:p>
        </w:tc>
        <w:tc>
          <w:tcPr>
            <w:tcW w:w="1224" w:type="dxa"/>
            <w:noWrap/>
            <w:vAlign w:val="center"/>
            <w:hideMark/>
          </w:tcPr>
          <w:p w14:paraId="6F32D20C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hAnsiTheme="majorBidi" w:cstheme="majorBidi"/>
                <w:color w:val="000000"/>
              </w:rPr>
              <w:t>39.8 ± 22.6</w:t>
            </w:r>
          </w:p>
        </w:tc>
        <w:tc>
          <w:tcPr>
            <w:tcW w:w="1218" w:type="dxa"/>
            <w:noWrap/>
            <w:vAlign w:val="center"/>
            <w:hideMark/>
          </w:tcPr>
          <w:p w14:paraId="0BB11777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hAnsiTheme="majorBidi" w:cstheme="majorBidi"/>
                <w:color w:val="000000"/>
              </w:rPr>
              <w:t>0.959</w:t>
            </w:r>
          </w:p>
        </w:tc>
        <w:tc>
          <w:tcPr>
            <w:tcW w:w="1584" w:type="dxa"/>
            <w:noWrap/>
            <w:vAlign w:val="center"/>
            <w:hideMark/>
          </w:tcPr>
          <w:p w14:paraId="23DDE282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hAnsiTheme="majorBidi" w:cstheme="majorBidi"/>
                <w:color w:val="000000"/>
              </w:rPr>
              <w:t>[0.668, 0.996]</w:t>
            </w:r>
          </w:p>
        </w:tc>
        <w:tc>
          <w:tcPr>
            <w:tcW w:w="950" w:type="dxa"/>
            <w:noWrap/>
            <w:vAlign w:val="center"/>
            <w:hideMark/>
          </w:tcPr>
          <w:p w14:paraId="12476A80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hAnsiTheme="majorBidi" w:cstheme="majorBidi"/>
                <w:color w:val="000000"/>
              </w:rPr>
              <w:t>0.0024</w:t>
            </w:r>
          </w:p>
        </w:tc>
        <w:tc>
          <w:tcPr>
            <w:tcW w:w="705" w:type="dxa"/>
            <w:noWrap/>
            <w:vAlign w:val="center"/>
            <w:hideMark/>
          </w:tcPr>
          <w:p w14:paraId="58CD58BC" w14:textId="77777777" w:rsidR="00256CFC" w:rsidRPr="00256CFC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hAnsiTheme="majorBidi" w:cstheme="majorBidi"/>
                <w:color w:val="000000"/>
              </w:rPr>
              <w:t>6.6</w:t>
            </w:r>
          </w:p>
        </w:tc>
        <w:tc>
          <w:tcPr>
            <w:tcW w:w="1152" w:type="dxa"/>
            <w:noWrap/>
            <w:vAlign w:val="center"/>
            <w:hideMark/>
          </w:tcPr>
          <w:p w14:paraId="58D212E4" w14:textId="77777777" w:rsidR="00256CFC" w:rsidRPr="00644FFA" w:rsidRDefault="00256CFC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56CFC">
              <w:rPr>
                <w:rFonts w:asciiTheme="majorBidi" w:hAnsiTheme="majorBidi" w:cstheme="majorBidi"/>
                <w:color w:val="000000"/>
              </w:rPr>
              <w:t>[4.1, 10.1]</w:t>
            </w:r>
          </w:p>
        </w:tc>
      </w:tr>
    </w:tbl>
    <w:p w14:paraId="6CE67D51" w14:textId="77777777" w:rsidR="00BB5469" w:rsidRDefault="00BB5469"/>
    <w:sectPr w:rsidR="00BB5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CFC"/>
    <w:rsid w:val="0000624E"/>
    <w:rsid w:val="00256CFC"/>
    <w:rsid w:val="00BB5469"/>
    <w:rsid w:val="00D0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F481A"/>
  <w15:chartTrackingRefBased/>
  <w15:docId w15:val="{DB238CDA-ECDB-4CBE-B769-3A2B8F238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CFC"/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6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CF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kern w:val="0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CF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kern w:val="0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CF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C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CF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CF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CF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256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256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CFC"/>
    <w:pPr>
      <w:spacing w:before="160"/>
      <w:jc w:val="center"/>
    </w:pPr>
    <w:rPr>
      <w:i/>
      <w:iCs/>
      <w:color w:val="404040" w:themeColor="text1" w:themeTint="BF"/>
      <w:kern w:val="0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256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CFC"/>
    <w:pPr>
      <w:ind w:left="720"/>
      <w:contextualSpacing/>
    </w:pPr>
    <w:rPr>
      <w:kern w:val="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56CF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CF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0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CF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CF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1</cp:revision>
  <dcterms:created xsi:type="dcterms:W3CDTF">2026-02-07T16:22:00Z</dcterms:created>
  <dcterms:modified xsi:type="dcterms:W3CDTF">2026-02-07T16:23:00Z</dcterms:modified>
</cp:coreProperties>
</file>