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FFF4" w14:textId="77777777" w:rsidR="003F6EAB" w:rsidRPr="003F6EAB" w:rsidRDefault="003F6EAB" w:rsidP="003F6EAB">
      <w:p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F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5.</w:t>
      </w:r>
      <w:r w:rsidRPr="003F6EAB">
        <w:rPr>
          <w:rFonts w:ascii="Times New Roman" w:eastAsia="Times New Roman" w:hAnsi="Times New Roman" w:cs="Times New Roman"/>
          <w:kern w:val="0"/>
          <w14:ligatures w14:val="none"/>
        </w:rPr>
        <w:t xml:space="preserve"> Overall lesion count correlation and accuracy metrics combining institutional and external validation sets (n=15 cases total). Performance metrics demonstrate framework robustness across different imaging conditions. AI and expert counts represent per-case means across three neuroradiologists. r: Pearson correlation coefficient; CI: confidence interval; MAE: mean absolute error. All correlations highly significant (p&lt;0.0001).</w:t>
      </w:r>
    </w:p>
    <w:tbl>
      <w:tblPr>
        <w:tblW w:w="964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224"/>
        <w:gridCol w:w="1224"/>
        <w:gridCol w:w="1218"/>
        <w:gridCol w:w="1584"/>
        <w:gridCol w:w="946"/>
        <w:gridCol w:w="705"/>
        <w:gridCol w:w="1152"/>
      </w:tblGrid>
      <w:tr w:rsidR="003F6EAB" w:rsidRPr="003F6EAB" w14:paraId="0D1DD5E7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7C122228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Lesion Location</w:t>
            </w:r>
          </w:p>
        </w:tc>
        <w:tc>
          <w:tcPr>
            <w:tcW w:w="1224" w:type="dxa"/>
            <w:noWrap/>
            <w:vAlign w:val="center"/>
            <w:hideMark/>
          </w:tcPr>
          <w:p w14:paraId="5EB555A9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AI Count</w:t>
            </w:r>
          </w:p>
        </w:tc>
        <w:tc>
          <w:tcPr>
            <w:tcW w:w="1224" w:type="dxa"/>
            <w:noWrap/>
            <w:vAlign w:val="center"/>
            <w:hideMark/>
          </w:tcPr>
          <w:p w14:paraId="6DA41B6B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Expert Count</w:t>
            </w:r>
          </w:p>
        </w:tc>
        <w:tc>
          <w:tcPr>
            <w:tcW w:w="1218" w:type="dxa"/>
            <w:noWrap/>
            <w:vAlign w:val="center"/>
            <w:hideMark/>
          </w:tcPr>
          <w:p w14:paraId="4BBCCEB5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Correlation (r)</w:t>
            </w:r>
          </w:p>
        </w:tc>
        <w:tc>
          <w:tcPr>
            <w:tcW w:w="1584" w:type="dxa"/>
            <w:noWrap/>
            <w:vAlign w:val="center"/>
            <w:hideMark/>
          </w:tcPr>
          <w:p w14:paraId="2552D2E4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r 95% CI</w:t>
            </w:r>
          </w:p>
        </w:tc>
        <w:tc>
          <w:tcPr>
            <w:tcW w:w="878" w:type="dxa"/>
            <w:noWrap/>
            <w:vAlign w:val="center"/>
            <w:hideMark/>
          </w:tcPr>
          <w:p w14:paraId="75714633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05" w:type="dxa"/>
            <w:noWrap/>
            <w:vAlign w:val="center"/>
            <w:hideMark/>
          </w:tcPr>
          <w:p w14:paraId="159EF669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</w:t>
            </w:r>
          </w:p>
        </w:tc>
        <w:tc>
          <w:tcPr>
            <w:tcW w:w="1152" w:type="dxa"/>
            <w:noWrap/>
            <w:vAlign w:val="center"/>
            <w:hideMark/>
          </w:tcPr>
          <w:p w14:paraId="0E5FD292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 95% CI</w:t>
            </w:r>
          </w:p>
        </w:tc>
      </w:tr>
      <w:tr w:rsidR="003F6EAB" w:rsidRPr="003F6EAB" w14:paraId="0CC18076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4CA3AE7F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Periventricular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3E6A2517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16.5 ± 11.7</w:t>
            </w:r>
          </w:p>
        </w:tc>
        <w:tc>
          <w:tcPr>
            <w:tcW w:w="1224" w:type="dxa"/>
            <w:noWrap/>
            <w:vAlign w:val="center"/>
            <w:hideMark/>
          </w:tcPr>
          <w:p w14:paraId="091DACDD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16.8 ± 11.5</w:t>
            </w:r>
          </w:p>
        </w:tc>
        <w:tc>
          <w:tcPr>
            <w:tcW w:w="1218" w:type="dxa"/>
            <w:noWrap/>
            <w:vAlign w:val="center"/>
            <w:hideMark/>
          </w:tcPr>
          <w:p w14:paraId="527D5507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0.929</w:t>
            </w:r>
          </w:p>
        </w:tc>
        <w:tc>
          <w:tcPr>
            <w:tcW w:w="1584" w:type="dxa"/>
            <w:noWrap/>
            <w:vAlign w:val="center"/>
            <w:hideMark/>
          </w:tcPr>
          <w:p w14:paraId="2D33D6F8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[0.796, 0.977]</w:t>
            </w:r>
          </w:p>
        </w:tc>
        <w:tc>
          <w:tcPr>
            <w:tcW w:w="878" w:type="dxa"/>
            <w:noWrap/>
            <w:hideMark/>
          </w:tcPr>
          <w:p w14:paraId="38CAB160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53037C14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3.3</w:t>
            </w:r>
          </w:p>
        </w:tc>
        <w:tc>
          <w:tcPr>
            <w:tcW w:w="1152" w:type="dxa"/>
            <w:noWrap/>
            <w:vAlign w:val="center"/>
            <w:hideMark/>
          </w:tcPr>
          <w:p w14:paraId="47BBDAB1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[2.2, 4.7]</w:t>
            </w:r>
          </w:p>
        </w:tc>
      </w:tr>
      <w:tr w:rsidR="003F6EAB" w:rsidRPr="003F6EAB" w14:paraId="06F523FF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7669DF45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Paraventricular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56A740F1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14.8 ± 8.5</w:t>
            </w:r>
          </w:p>
        </w:tc>
        <w:tc>
          <w:tcPr>
            <w:tcW w:w="1224" w:type="dxa"/>
            <w:noWrap/>
            <w:vAlign w:val="center"/>
            <w:hideMark/>
          </w:tcPr>
          <w:p w14:paraId="69734686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16.6 ± 11.3</w:t>
            </w:r>
          </w:p>
        </w:tc>
        <w:tc>
          <w:tcPr>
            <w:tcW w:w="1218" w:type="dxa"/>
            <w:noWrap/>
            <w:vAlign w:val="center"/>
            <w:hideMark/>
          </w:tcPr>
          <w:p w14:paraId="06656EE1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0.932</w:t>
            </w:r>
          </w:p>
        </w:tc>
        <w:tc>
          <w:tcPr>
            <w:tcW w:w="1584" w:type="dxa"/>
            <w:noWrap/>
            <w:vAlign w:val="center"/>
            <w:hideMark/>
          </w:tcPr>
          <w:p w14:paraId="7C5B6C4D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[0.804, 0.978]</w:t>
            </w:r>
          </w:p>
        </w:tc>
        <w:tc>
          <w:tcPr>
            <w:tcW w:w="878" w:type="dxa"/>
            <w:noWrap/>
            <w:hideMark/>
          </w:tcPr>
          <w:p w14:paraId="5A56B983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4C17B406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3.9</w:t>
            </w:r>
          </w:p>
        </w:tc>
        <w:tc>
          <w:tcPr>
            <w:tcW w:w="1152" w:type="dxa"/>
            <w:noWrap/>
            <w:vAlign w:val="center"/>
            <w:hideMark/>
          </w:tcPr>
          <w:p w14:paraId="4462376D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[2.6, 5.3]</w:t>
            </w:r>
          </w:p>
        </w:tc>
      </w:tr>
      <w:tr w:rsidR="003F6EAB" w:rsidRPr="003F6EAB" w14:paraId="30059C38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0572A77C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Juxtacortical</w:t>
            </w:r>
          </w:p>
        </w:tc>
        <w:tc>
          <w:tcPr>
            <w:tcW w:w="1224" w:type="dxa"/>
            <w:noWrap/>
            <w:vAlign w:val="center"/>
            <w:hideMark/>
          </w:tcPr>
          <w:p w14:paraId="1A8FFC38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4.8 ± 3.6</w:t>
            </w:r>
          </w:p>
        </w:tc>
        <w:tc>
          <w:tcPr>
            <w:tcW w:w="1224" w:type="dxa"/>
            <w:noWrap/>
            <w:vAlign w:val="center"/>
            <w:hideMark/>
          </w:tcPr>
          <w:p w14:paraId="20CB9E5A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4.0 ± 4.9</w:t>
            </w:r>
          </w:p>
        </w:tc>
        <w:tc>
          <w:tcPr>
            <w:tcW w:w="1218" w:type="dxa"/>
            <w:noWrap/>
            <w:vAlign w:val="center"/>
            <w:hideMark/>
          </w:tcPr>
          <w:p w14:paraId="3E86AA67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0.927</w:t>
            </w:r>
          </w:p>
        </w:tc>
        <w:tc>
          <w:tcPr>
            <w:tcW w:w="1584" w:type="dxa"/>
            <w:noWrap/>
            <w:vAlign w:val="center"/>
            <w:hideMark/>
          </w:tcPr>
          <w:p w14:paraId="4F4404BD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[0.790, 0.976]</w:t>
            </w:r>
          </w:p>
        </w:tc>
        <w:tc>
          <w:tcPr>
            <w:tcW w:w="878" w:type="dxa"/>
            <w:noWrap/>
            <w:hideMark/>
          </w:tcPr>
          <w:p w14:paraId="7F769FE5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04E12136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1.7</w:t>
            </w:r>
          </w:p>
        </w:tc>
        <w:tc>
          <w:tcPr>
            <w:tcW w:w="1152" w:type="dxa"/>
            <w:noWrap/>
            <w:vAlign w:val="center"/>
            <w:hideMark/>
          </w:tcPr>
          <w:p w14:paraId="4BC3C266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[1.0, 2.4]</w:t>
            </w:r>
          </w:p>
        </w:tc>
      </w:tr>
      <w:tr w:rsidR="003F6EAB" w:rsidRPr="003808BD" w14:paraId="19E0B838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6246F007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Total Lesions</w:t>
            </w:r>
          </w:p>
        </w:tc>
        <w:tc>
          <w:tcPr>
            <w:tcW w:w="1224" w:type="dxa"/>
            <w:noWrap/>
            <w:vAlign w:val="center"/>
            <w:hideMark/>
          </w:tcPr>
          <w:p w14:paraId="567314A8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36.1 ± 20.1</w:t>
            </w:r>
          </w:p>
        </w:tc>
        <w:tc>
          <w:tcPr>
            <w:tcW w:w="1224" w:type="dxa"/>
            <w:noWrap/>
            <w:vAlign w:val="center"/>
            <w:hideMark/>
          </w:tcPr>
          <w:p w14:paraId="17EC6240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37.4 ± 23.5</w:t>
            </w:r>
          </w:p>
        </w:tc>
        <w:tc>
          <w:tcPr>
            <w:tcW w:w="1218" w:type="dxa"/>
            <w:noWrap/>
            <w:vAlign w:val="center"/>
            <w:hideMark/>
          </w:tcPr>
          <w:p w14:paraId="6281F655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0.955</w:t>
            </w:r>
          </w:p>
        </w:tc>
        <w:tc>
          <w:tcPr>
            <w:tcW w:w="1584" w:type="dxa"/>
            <w:noWrap/>
            <w:vAlign w:val="center"/>
            <w:hideMark/>
          </w:tcPr>
          <w:p w14:paraId="2ED406DA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[0.868, 0.985]</w:t>
            </w:r>
          </w:p>
        </w:tc>
        <w:tc>
          <w:tcPr>
            <w:tcW w:w="878" w:type="dxa"/>
            <w:noWrap/>
            <w:hideMark/>
          </w:tcPr>
          <w:p w14:paraId="1717A939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01C3A2E3" w14:textId="77777777" w:rsidR="003F6EAB" w:rsidRPr="003F6EAB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5.7</w:t>
            </w:r>
          </w:p>
        </w:tc>
        <w:tc>
          <w:tcPr>
            <w:tcW w:w="1152" w:type="dxa"/>
            <w:noWrap/>
            <w:vAlign w:val="center"/>
            <w:hideMark/>
          </w:tcPr>
          <w:p w14:paraId="494C9443" w14:textId="77777777" w:rsidR="003F6EAB" w:rsidRPr="00644FFA" w:rsidRDefault="003F6EAB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3F6EAB">
              <w:rPr>
                <w:rFonts w:asciiTheme="majorBidi" w:hAnsiTheme="majorBidi" w:cstheme="majorBidi"/>
                <w:color w:val="000000"/>
              </w:rPr>
              <w:t>[3.7, 8.0]</w:t>
            </w:r>
          </w:p>
        </w:tc>
      </w:tr>
    </w:tbl>
    <w:p w14:paraId="1F172D08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AB"/>
    <w:rsid w:val="0000624E"/>
    <w:rsid w:val="003F6EAB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FEA5"/>
  <w15:chartTrackingRefBased/>
  <w15:docId w15:val="{B6FCC3A3-2327-4B27-A8AC-9DD62A36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AB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F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3F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AB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3F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AB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F6E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2026-02-07T16:23:00Z</dcterms:created>
  <dcterms:modified xsi:type="dcterms:W3CDTF">2026-02-07T16:23:00Z</dcterms:modified>
</cp:coreProperties>
</file>