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="000779BB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>
        <w:rPr>
          <w:rFonts w:ascii="Calibri" w:hAnsi="Calibri" w:cs="Calibri"/>
          <w:sz w:val="20"/>
          <w:szCs w:val="20"/>
          <w:lang w:val="fr-CA"/>
        </w:rPr>
        <w:t>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  <w:r w:rsidR="005A064C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5A064C" w:rsidRPr="005A064C">
        <w:rPr>
          <w:rFonts w:ascii="Calibri" w:hAnsi="Calibri" w:cs="Calibri"/>
          <w:sz w:val="20"/>
          <w:szCs w:val="20"/>
          <w:lang w:val="fr-CA"/>
        </w:rPr>
        <w:t>Préparation des schémas électr</w:t>
      </w:r>
      <w:r w:rsidR="00794E89"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 w:rsidR="00794E89"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 w:rsidR="00794E89">
        <w:rPr>
          <w:rFonts w:ascii="Calibri" w:hAnsi="Calibri" w:cs="Calibri"/>
          <w:sz w:val="20"/>
          <w:szCs w:val="20"/>
          <w:lang w:val="fr-CA"/>
        </w:rPr>
        <w:t>.</w:t>
      </w:r>
    </w:p>
    <w:p w:rsidR="003B6431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3 ans d'expérience dans la planification et estimation des coûts des projets électriques résidentiels, des installations industrielles et de l'automatisation.</w:t>
      </w:r>
    </w:p>
    <w:p w:rsidR="005A064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3B6431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diagnostic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0336D1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ans d'expérience 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systèmes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r w:rsidR="000779BB">
        <w:rPr>
          <w:rFonts w:ascii="Calibri" w:hAnsi="Calibri" w:cs="Calibri"/>
          <w:sz w:val="20"/>
          <w:szCs w:val="20"/>
          <w:lang w:val="fr-CA"/>
        </w:rPr>
        <w:t>mesurage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utilisant l</w:t>
      </w:r>
      <w:r w:rsidR="000779BB">
        <w:rPr>
          <w:rFonts w:ascii="Calibri" w:hAnsi="Calibri" w:cs="Calibri"/>
          <w:sz w:val="20"/>
          <w:szCs w:val="20"/>
          <w:lang w:val="fr-CA"/>
        </w:rPr>
        <w:t>a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 plate-forme web</w:t>
      </w:r>
      <w:r w:rsidR="0058666C"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r w:rsidR="0058666C">
        <w:rPr>
          <w:rFonts w:ascii="Calibri" w:hAnsi="Calibri" w:cs="Calibri"/>
          <w:sz w:val="20"/>
          <w:szCs w:val="20"/>
          <w:lang w:val="fr-CA"/>
        </w:rPr>
        <w:t>Labview</w:t>
      </w:r>
      <w:r w:rsidR="0058666C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3B6431" w:rsidP="003B643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3B6431">
        <w:rPr>
          <w:rFonts w:ascii="Calibri" w:hAnsi="Calibri" w:cs="Calibri"/>
          <w:sz w:val="20"/>
          <w:szCs w:val="20"/>
          <w:lang w:val="fr-CA"/>
        </w:rPr>
        <w:t>3 ans d'expérience dans la conception de systèmes automatisés électromécaniques, ba</w:t>
      </w:r>
      <w:r w:rsidR="00794E89">
        <w:rPr>
          <w:rFonts w:ascii="Calibri" w:hAnsi="Calibri" w:cs="Calibri"/>
          <w:sz w:val="20"/>
          <w:szCs w:val="20"/>
          <w:lang w:val="fr-CA"/>
        </w:rPr>
        <w:t xml:space="preserve">sé sur la plateforme de </w:t>
      </w:r>
      <w:proofErr w:type="spellStart"/>
      <w:r w:rsidR="00794E89">
        <w:rPr>
          <w:rFonts w:ascii="Calibri" w:hAnsi="Calibri" w:cs="Calibri"/>
          <w:sz w:val="20"/>
          <w:szCs w:val="20"/>
          <w:lang w:val="fr-CA"/>
        </w:rPr>
        <w:t>Labview</w:t>
      </w:r>
      <w:bookmarkStart w:id="0" w:name="_GoBack"/>
      <w:bookmarkEnd w:id="0"/>
      <w:proofErr w:type="spellEnd"/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bases de données pour la gestion des information</w:t>
      </w:r>
      <w:r w:rsidR="003B6431">
        <w:rPr>
          <w:rFonts w:ascii="Calibri" w:hAnsi="Calibri" w:cs="Calibri"/>
          <w:sz w:val="20"/>
          <w:szCs w:val="20"/>
          <w:lang w:val="fr-CA"/>
        </w:rPr>
        <w:t xml:space="preserve">s d'entreprise avec logicielle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Access et </w:t>
      </w:r>
      <w:proofErr w:type="spellStart"/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géographique,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HTML,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SQL,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Maps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Visual Basic pour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Excel.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>logiciel  RS Logix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>: 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 xml:space="preserve">w,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lastRenderedPageBreak/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Pr="00E56372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2172CF" w:rsidRP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A4D73"/>
    <w:rsid w:val="001C174F"/>
    <w:rsid w:val="002132C9"/>
    <w:rsid w:val="002172CF"/>
    <w:rsid w:val="0026610D"/>
    <w:rsid w:val="00276476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9501C"/>
    <w:rsid w:val="004A2BA0"/>
    <w:rsid w:val="004D45D8"/>
    <w:rsid w:val="005034B7"/>
    <w:rsid w:val="0050709B"/>
    <w:rsid w:val="00520A7D"/>
    <w:rsid w:val="00540B97"/>
    <w:rsid w:val="0055791D"/>
    <w:rsid w:val="0058666C"/>
    <w:rsid w:val="005A064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21C75"/>
    <w:rsid w:val="0072694B"/>
    <w:rsid w:val="00734EE9"/>
    <w:rsid w:val="007465F3"/>
    <w:rsid w:val="00794E89"/>
    <w:rsid w:val="007B3796"/>
    <w:rsid w:val="007C07DF"/>
    <w:rsid w:val="007D372B"/>
    <w:rsid w:val="00804AB3"/>
    <w:rsid w:val="00810861"/>
    <w:rsid w:val="00815553"/>
    <w:rsid w:val="00820DF8"/>
    <w:rsid w:val="00824828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1494</Words>
  <Characters>8220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2014-04-16T01:55:00Z</cp:lastPrinted>
  <dcterms:created xsi:type="dcterms:W3CDTF">2014-12-03T15:05:00Z</dcterms:created>
  <dcterms:modified xsi:type="dcterms:W3CDTF">2014-12-14T22:27:00Z</dcterms:modified>
</cp:coreProperties>
</file>