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Bylaws of Furman University News Channel (FUNC)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Article I: Name and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name of this organization shall be [FUNC].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**Purpose**: The purpose of this organization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Provide accurate, timely, and relevant news coverage to the student body.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Foster a spirit of journalistic integrity and ethical reporting.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Engage students in media production and critical thinking.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Article II: Membership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Eligibility: Membership is open to all students enrolled at Furman University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Active Members: Active members are those who participate regularly in meetings and contribute to news production.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Article III: Executives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Executives: The executives of the organization shall include: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Director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Producer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Director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Selection: Positions are selected based on experience and a meeting with the current student director.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Article IV: Meetings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**Regular Meetings**: Meetings shall be held bi-weekly during the academic year. Additional meetings may be called as necessary.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**Quorum**: A quorum shall consist of at least [insert percentage, e.g., 50%] of active members.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**Decision-Making**: Decisions shall be made by a majority vote of members present at meetings.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Article VI: Code of Ethics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**Standards**: Members are expected to adhere to journalistic standards, including accuracy, fairness, and transparency.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**Conflict Resolution**: Any ethical concerns or disputes shall be addressed by the executive board and may involve a review process.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**Article VII: Amendments**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**Amendment Process**: Proposed amendments to these bylaws must be submitted in writing to the executive board. Amendments shall be discussed and voted on at the next regular meeting.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**Approval**: An amendment requires a two-thirds majority vote of active members present to pass.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