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761DAD00" w14:textId="77777777" w:rsidR="00D731CE" w:rsidRDefault="00D731CE" w:rsidP="00357984">
      <w:pPr>
        <w:jc w:val="center"/>
        <w:rPr>
          <w:rFonts w:ascii="Times New Roman" w:hAnsi="Times New Roman" w:cs="Times New Roman"/>
          <w:b/>
          <w:bCs/>
          <w:sz w:val="36"/>
          <w:szCs w:val="36"/>
        </w:rPr>
      </w:pPr>
    </w:p>
    <w:p w14:paraId="4912457F" w14:textId="700E77FA" w:rsidR="005702A0" w:rsidRDefault="00357984" w:rsidP="00357984">
      <w:pPr>
        <w:jc w:val="center"/>
        <w:rPr>
          <w:rFonts w:ascii="Times New Roman" w:hAnsi="Times New Roman" w:cs="Times New Roman"/>
          <w:b/>
          <w:bCs/>
          <w:sz w:val="36"/>
          <w:szCs w:val="36"/>
        </w:rPr>
      </w:pPr>
      <w:r w:rsidRPr="00357984">
        <w:rPr>
          <w:rFonts w:ascii="Times New Roman" w:hAnsi="Times New Roman" w:cs="Times New Roman"/>
          <w:b/>
          <w:bCs/>
          <w:sz w:val="36"/>
          <w:szCs w:val="36"/>
        </w:rPr>
        <w:t>Investment Policy Statement</w:t>
      </w:r>
    </w:p>
    <w:p w14:paraId="2E5AE510" w14:textId="097DDA22" w:rsidR="00357984" w:rsidRDefault="00357984" w:rsidP="00357984">
      <w:pPr>
        <w:rPr>
          <w:rFonts w:ascii="Times New Roman" w:hAnsi="Times New Roman" w:cs="Times New Roman"/>
          <w:sz w:val="24"/>
          <w:szCs w:val="24"/>
        </w:rPr>
      </w:pPr>
      <w:r>
        <w:rPr>
          <w:rFonts w:ascii="Times New Roman" w:hAnsi="Times New Roman" w:cs="Times New Roman"/>
          <w:sz w:val="24"/>
          <w:szCs w:val="24"/>
        </w:rPr>
        <w:t>The Furman University Investment Club (FUIC) is a 100% student-run organization that actively manages a portion of Furman’s Endowment. We hope to educate members through student-led discussions on market trends, macroeconomics events, and lectures on investment techniques and topics. Student monitor and pitch holdings to be considered for addition to the portfolio.</w:t>
      </w:r>
    </w:p>
    <w:p w14:paraId="20AE8C7B" w14:textId="01ED48DB" w:rsidR="00357984" w:rsidRDefault="00357984" w:rsidP="00357984">
      <w:pPr>
        <w:rPr>
          <w:rFonts w:ascii="Times New Roman" w:hAnsi="Times New Roman" w:cs="Times New Roman"/>
          <w:sz w:val="24"/>
          <w:szCs w:val="24"/>
        </w:rPr>
      </w:pPr>
      <w:r w:rsidRPr="00357984">
        <w:rPr>
          <w:rFonts w:ascii="Times New Roman" w:hAnsi="Times New Roman" w:cs="Times New Roman"/>
          <w:b/>
          <w:bCs/>
          <w:sz w:val="24"/>
          <w:szCs w:val="24"/>
        </w:rPr>
        <w:t>Portfolio Composition:</w:t>
      </w:r>
      <w:r>
        <w:rPr>
          <w:rFonts w:ascii="Times New Roman" w:hAnsi="Times New Roman" w:cs="Times New Roman"/>
          <w:b/>
          <w:bCs/>
          <w:sz w:val="24"/>
          <w:szCs w:val="24"/>
        </w:rPr>
        <w:t xml:space="preserve"> </w:t>
      </w:r>
      <w:r>
        <w:rPr>
          <w:rFonts w:ascii="Times New Roman" w:hAnsi="Times New Roman" w:cs="Times New Roman"/>
          <w:sz w:val="24"/>
          <w:szCs w:val="24"/>
        </w:rPr>
        <w:t xml:space="preserve">FUIC’S portfolio will be focused and composed of U.S.-traded, large-cap equities. Also, the club considers </w:t>
      </w:r>
      <w:r w:rsidR="002B17FB">
        <w:rPr>
          <w:rFonts w:ascii="Times New Roman" w:hAnsi="Times New Roman" w:cs="Times New Roman"/>
          <w:sz w:val="24"/>
          <w:szCs w:val="24"/>
        </w:rPr>
        <w:t>foreign stocks trading on U.S. exchanges as ADRs. Due to this composition, the fund benchmark will be the S&amp;P 500 and MSCI World Index. The portfolio composition will be 80% equities and 20% fixed income; however, we allow a +/- 10% deviation from these targets.</w:t>
      </w:r>
    </w:p>
    <w:p w14:paraId="0710A22C" w14:textId="744186BC" w:rsidR="002B17FB" w:rsidRDefault="002B17FB" w:rsidP="00357984">
      <w:pPr>
        <w:rPr>
          <w:rFonts w:ascii="Times New Roman" w:hAnsi="Times New Roman" w:cs="Times New Roman"/>
          <w:sz w:val="24"/>
          <w:szCs w:val="24"/>
        </w:rPr>
      </w:pPr>
      <w:r w:rsidRPr="002B17FB">
        <w:rPr>
          <w:rFonts w:ascii="Times New Roman" w:hAnsi="Times New Roman" w:cs="Times New Roman"/>
          <w:b/>
          <w:bCs/>
          <w:sz w:val="24"/>
          <w:szCs w:val="24"/>
        </w:rPr>
        <w:t>Return Objective:</w:t>
      </w:r>
      <w:r>
        <w:rPr>
          <w:rFonts w:ascii="Times New Roman" w:hAnsi="Times New Roman" w:cs="Times New Roman"/>
          <w:b/>
          <w:bCs/>
          <w:sz w:val="24"/>
          <w:szCs w:val="24"/>
        </w:rPr>
        <w:t xml:space="preserve"> </w:t>
      </w:r>
      <w:r>
        <w:rPr>
          <w:rFonts w:ascii="Times New Roman" w:hAnsi="Times New Roman" w:cs="Times New Roman"/>
          <w:sz w:val="24"/>
          <w:szCs w:val="24"/>
        </w:rPr>
        <w:t>The objective of this fund is to outperform the benchmark over a year period, while being conscientious of relative short-term and long-term strategies.</w:t>
      </w:r>
    </w:p>
    <w:p w14:paraId="10DADC13" w14:textId="437E1062" w:rsidR="002B17FB" w:rsidRDefault="002B17FB" w:rsidP="00357984">
      <w:pPr>
        <w:rPr>
          <w:rFonts w:ascii="Times New Roman" w:hAnsi="Times New Roman" w:cs="Times New Roman"/>
          <w:sz w:val="24"/>
          <w:szCs w:val="24"/>
        </w:rPr>
      </w:pPr>
      <w:r w:rsidRPr="002B17FB">
        <w:rPr>
          <w:rFonts w:ascii="Times New Roman" w:hAnsi="Times New Roman" w:cs="Times New Roman"/>
          <w:b/>
          <w:bCs/>
          <w:sz w:val="24"/>
          <w:szCs w:val="24"/>
        </w:rPr>
        <w:t>Risk Tolerance:</w:t>
      </w:r>
      <w:r>
        <w:rPr>
          <w:rFonts w:ascii="Times New Roman" w:hAnsi="Times New Roman" w:cs="Times New Roman"/>
          <w:b/>
          <w:bCs/>
          <w:sz w:val="24"/>
          <w:szCs w:val="24"/>
        </w:rPr>
        <w:t xml:space="preserve"> </w:t>
      </w:r>
      <w:r w:rsidR="00D731CE">
        <w:rPr>
          <w:rFonts w:ascii="Times New Roman" w:hAnsi="Times New Roman" w:cs="Times New Roman"/>
          <w:sz w:val="24"/>
          <w:szCs w:val="24"/>
        </w:rPr>
        <w:t xml:space="preserve">The club accepts that losses are acceptable in the short run </w:t>
      </w:r>
      <w:proofErr w:type="gramStart"/>
      <w:r w:rsidR="00D731CE">
        <w:rPr>
          <w:rFonts w:ascii="Times New Roman" w:hAnsi="Times New Roman" w:cs="Times New Roman"/>
          <w:sz w:val="24"/>
          <w:szCs w:val="24"/>
        </w:rPr>
        <w:t>in order to</w:t>
      </w:r>
      <w:proofErr w:type="gramEnd"/>
      <w:r w:rsidR="00D731CE">
        <w:rPr>
          <w:rFonts w:ascii="Times New Roman" w:hAnsi="Times New Roman" w:cs="Times New Roman"/>
          <w:sz w:val="24"/>
          <w:szCs w:val="24"/>
        </w:rPr>
        <w:t xml:space="preserve"> obtain superior relative long-run returns. However, to obtain these returns, the club is willing to take on risks comparable to the </w:t>
      </w:r>
      <w:proofErr w:type="gramStart"/>
      <w:r w:rsidR="00D731CE">
        <w:rPr>
          <w:rFonts w:ascii="Times New Roman" w:hAnsi="Times New Roman" w:cs="Times New Roman"/>
          <w:sz w:val="24"/>
          <w:szCs w:val="24"/>
        </w:rPr>
        <w:t>aforementioned blended</w:t>
      </w:r>
      <w:proofErr w:type="gramEnd"/>
      <w:r w:rsidR="00D731CE">
        <w:rPr>
          <w:rFonts w:ascii="Times New Roman" w:hAnsi="Times New Roman" w:cs="Times New Roman"/>
          <w:sz w:val="24"/>
          <w:szCs w:val="24"/>
        </w:rPr>
        <w:t xml:space="preserve"> benchmarks.</w:t>
      </w:r>
    </w:p>
    <w:p w14:paraId="07569739" w14:textId="73C40D1D" w:rsidR="00D731CE" w:rsidRDefault="00D731CE" w:rsidP="00357984">
      <w:pPr>
        <w:rPr>
          <w:rFonts w:ascii="Times New Roman" w:hAnsi="Times New Roman" w:cs="Times New Roman"/>
          <w:sz w:val="24"/>
          <w:szCs w:val="24"/>
        </w:rPr>
      </w:pPr>
      <w:r w:rsidRPr="00D731CE">
        <w:rPr>
          <w:rFonts w:ascii="Times New Roman" w:hAnsi="Times New Roman" w:cs="Times New Roman"/>
          <w:b/>
          <w:bCs/>
          <w:sz w:val="24"/>
          <w:szCs w:val="24"/>
        </w:rPr>
        <w:t>Risk Management:</w:t>
      </w:r>
      <w:r>
        <w:rPr>
          <w:rFonts w:ascii="Times New Roman" w:hAnsi="Times New Roman" w:cs="Times New Roman"/>
          <w:b/>
          <w:bCs/>
          <w:sz w:val="24"/>
          <w:szCs w:val="24"/>
        </w:rPr>
        <w:t xml:space="preserve"> </w:t>
      </w:r>
      <w:r>
        <w:rPr>
          <w:rFonts w:ascii="Times New Roman" w:hAnsi="Times New Roman" w:cs="Times New Roman"/>
          <w:sz w:val="24"/>
          <w:szCs w:val="24"/>
        </w:rPr>
        <w:t>To minimize risk, the club will impose the following restrictions on its holdings.</w:t>
      </w:r>
    </w:p>
    <w:p w14:paraId="05621D15" w14:textId="27A1CA75" w:rsidR="00D731CE" w:rsidRDefault="00D731CE" w:rsidP="00D731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No holdings shall constitute more than 10% or less than 1% of FUIC’s portfolio</w:t>
      </w:r>
    </w:p>
    <w:p w14:paraId="3969C8BA" w14:textId="57B460ED" w:rsidR="00D731CE" w:rsidRDefault="00D731CE" w:rsidP="00D731CE">
      <w:pPr>
        <w:pStyle w:val="ListParagraph"/>
        <w:numPr>
          <w:ilvl w:val="0"/>
          <w:numId w:val="1"/>
        </w:numPr>
        <w:rPr>
          <w:rFonts w:ascii="Times New Roman" w:hAnsi="Times New Roman" w:cs="Times New Roman"/>
          <w:sz w:val="24"/>
          <w:szCs w:val="24"/>
        </w:rPr>
      </w:pPr>
      <w:r>
        <w:rPr>
          <w:rFonts w:ascii="Times New Roman" w:hAnsi="Times New Roman" w:cs="Times New Roman"/>
          <w:sz w:val="24"/>
          <w:szCs w:val="24"/>
        </w:rPr>
        <w:t>FUIC will manage sector weightings, as shown in the Sector Weights Table.</w:t>
      </w:r>
    </w:p>
    <w:p w14:paraId="51690DD9" w14:textId="5F84AA7E" w:rsidR="00D731CE" w:rsidRDefault="00D731CE" w:rsidP="00D731CE">
      <w:pPr>
        <w:rPr>
          <w:rFonts w:ascii="Times New Roman" w:hAnsi="Times New Roman" w:cs="Times New Roman"/>
          <w:b/>
          <w:bCs/>
          <w:sz w:val="24"/>
          <w:szCs w:val="24"/>
        </w:rPr>
      </w:pPr>
      <w:r w:rsidRPr="00D731CE">
        <w:rPr>
          <w:rFonts w:ascii="Times New Roman" w:hAnsi="Times New Roman" w:cs="Times New Roman"/>
          <w:b/>
          <w:bCs/>
          <w:sz w:val="24"/>
          <w:szCs w:val="24"/>
        </w:rPr>
        <w:t>Sector Weights Table:</w:t>
      </w:r>
    </w:p>
    <w:tbl>
      <w:tblPr>
        <w:tblStyle w:val="GridTable2"/>
        <w:tblW w:w="0" w:type="auto"/>
        <w:tblLook w:val="04A0" w:firstRow="1" w:lastRow="0" w:firstColumn="1" w:lastColumn="0" w:noHBand="0" w:noVBand="1"/>
      </w:tblPr>
      <w:tblGrid>
        <w:gridCol w:w="10800"/>
      </w:tblGrid>
      <w:tr w:rsidR="00D731CE" w14:paraId="4C9A787D" w14:textId="77777777" w:rsidTr="00D731CE">
        <w:trPr>
          <w:cnfStyle w:val="100000000000" w:firstRow="1" w:lastRow="0" w:firstColumn="0" w:lastColumn="0" w:oddVBand="0" w:evenVBand="0" w:oddHBand="0" w:evenHBand="0" w:firstRowFirstColumn="0" w:firstRowLastColumn="0" w:lastRowFirstColumn="0" w:lastRowLastColumn="0"/>
        </w:trPr>
        <w:tc>
          <w:tcPr>
            <w:cnfStyle w:val="001000000000" w:firstRow="0" w:lastRow="0" w:firstColumn="1" w:lastColumn="0" w:oddVBand="0" w:evenVBand="0" w:oddHBand="0" w:evenHBand="0" w:firstRowFirstColumn="0" w:firstRowLastColumn="0" w:lastRowFirstColumn="0" w:lastRowLastColumn="0"/>
            <w:tcW w:w="10790" w:type="dxa"/>
          </w:tcPr>
          <w:tbl>
            <w:tblPr>
              <w:tblStyle w:val="TableGrid"/>
              <w:tblW w:w="10612" w:type="dxa"/>
              <w:tblLook w:val="04A0" w:firstRow="1" w:lastRow="0" w:firstColumn="1" w:lastColumn="0" w:noHBand="0" w:noVBand="1"/>
            </w:tblPr>
            <w:tblGrid>
              <w:gridCol w:w="5306"/>
              <w:gridCol w:w="5306"/>
            </w:tblGrid>
            <w:tr w:rsidR="00D731CE" w14:paraId="2BBFB653" w14:textId="77777777" w:rsidTr="00D731CE">
              <w:trPr>
                <w:trHeight w:val="577"/>
              </w:trPr>
              <w:tc>
                <w:tcPr>
                  <w:tcW w:w="5306" w:type="dxa"/>
                </w:tcPr>
                <w:p w14:paraId="268A4265" w14:textId="5894B4BC"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S</w:t>
                  </w:r>
                  <w:r w:rsidRPr="00D731CE">
                    <w:rPr>
                      <w:rFonts w:ascii="Times New Roman" w:hAnsi="Times New Roman" w:cs="Times New Roman"/>
                    </w:rPr>
                    <w:t>&amp;P 500 Sector Weights</w:t>
                  </w:r>
                </w:p>
              </w:tc>
              <w:tc>
                <w:tcPr>
                  <w:tcW w:w="5306" w:type="dxa"/>
                </w:tcPr>
                <w:p w14:paraId="2121E0F4" w14:textId="549977E0" w:rsidR="00D731CE" w:rsidRPr="00D731CE" w:rsidRDefault="00D731CE" w:rsidP="00D731CE">
                  <w:pPr>
                    <w:rPr>
                      <w:rFonts w:ascii="Times New Roman" w:hAnsi="Times New Roman" w:cs="Times New Roman"/>
                    </w:rPr>
                  </w:pPr>
                  <w:r w:rsidRPr="00D731CE">
                    <w:rPr>
                      <w:rFonts w:ascii="Times New Roman" w:hAnsi="Times New Roman" w:cs="Times New Roman"/>
                    </w:rPr>
                    <w:t>FUIC Portfolio Sector Weights Allowable Range +/-%</w:t>
                  </w:r>
                </w:p>
              </w:tc>
            </w:tr>
            <w:tr w:rsidR="00D731CE" w14:paraId="374D0176" w14:textId="77777777" w:rsidTr="00D731CE">
              <w:trPr>
                <w:trHeight w:val="293"/>
              </w:trPr>
              <w:tc>
                <w:tcPr>
                  <w:tcW w:w="5306" w:type="dxa"/>
                </w:tcPr>
                <w:p w14:paraId="74C26524" w14:textId="0A971A84"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15.00% or Greater</w:t>
                  </w:r>
                </w:p>
              </w:tc>
              <w:tc>
                <w:tcPr>
                  <w:tcW w:w="5306" w:type="dxa"/>
                </w:tcPr>
                <w:p w14:paraId="60AF11DC" w14:textId="1BC2FE91"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25%</w:t>
                  </w:r>
                </w:p>
              </w:tc>
            </w:tr>
            <w:tr w:rsidR="00D731CE" w14:paraId="272AD4B6" w14:textId="77777777" w:rsidTr="00D731CE">
              <w:trPr>
                <w:trHeight w:val="283"/>
              </w:trPr>
              <w:tc>
                <w:tcPr>
                  <w:tcW w:w="5306" w:type="dxa"/>
                </w:tcPr>
                <w:p w14:paraId="203DCBDC" w14:textId="7619D582"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5.00% - 14.99%</w:t>
                  </w:r>
                </w:p>
              </w:tc>
              <w:tc>
                <w:tcPr>
                  <w:tcW w:w="5306" w:type="dxa"/>
                </w:tcPr>
                <w:p w14:paraId="7DC26F0A" w14:textId="0E311DE4"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50%</w:t>
                  </w:r>
                </w:p>
              </w:tc>
            </w:tr>
            <w:tr w:rsidR="00D731CE" w14:paraId="2F905EDA" w14:textId="77777777" w:rsidTr="00D731CE">
              <w:trPr>
                <w:trHeight w:val="293"/>
              </w:trPr>
              <w:tc>
                <w:tcPr>
                  <w:tcW w:w="5306" w:type="dxa"/>
                </w:tcPr>
                <w:p w14:paraId="312F0A2F" w14:textId="38146C5E"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0.00% - 4.99%</w:t>
                  </w:r>
                </w:p>
              </w:tc>
              <w:tc>
                <w:tcPr>
                  <w:tcW w:w="5306" w:type="dxa"/>
                </w:tcPr>
                <w:p w14:paraId="74A66C29" w14:textId="323E27AD" w:rsidR="00D731CE" w:rsidRP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75%</w:t>
                  </w:r>
                </w:p>
              </w:tc>
            </w:tr>
          </w:tbl>
          <w:p w14:paraId="75B8C640" w14:textId="77777777" w:rsidR="00D731CE" w:rsidRDefault="00D731CE" w:rsidP="00D731CE">
            <w:pPr>
              <w:rPr>
                <w:rFonts w:ascii="Times New Roman" w:hAnsi="Times New Roman" w:cs="Times New Roman"/>
                <w:b w:val="0"/>
                <w:bCs w:val="0"/>
                <w:sz w:val="24"/>
                <w:szCs w:val="24"/>
              </w:rPr>
            </w:pPr>
          </w:p>
        </w:tc>
      </w:tr>
    </w:tbl>
    <w:p w14:paraId="4B0E15FC" w14:textId="0707236D" w:rsidR="00D731CE" w:rsidRDefault="00D731CE" w:rsidP="00D731CE">
      <w:pPr>
        <w:rPr>
          <w:rFonts w:ascii="Times New Roman" w:hAnsi="Times New Roman" w:cs="Times New Roman"/>
          <w:b/>
          <w:bCs/>
          <w:sz w:val="24"/>
          <w:szCs w:val="24"/>
        </w:rPr>
      </w:pPr>
    </w:p>
    <w:p w14:paraId="298BD446" w14:textId="5F5835BA" w:rsidR="00D731CE" w:rsidRDefault="00D731CE" w:rsidP="00D731CE">
      <w:pPr>
        <w:rPr>
          <w:rFonts w:ascii="Times New Roman" w:hAnsi="Times New Roman" w:cs="Times New Roman"/>
          <w:sz w:val="24"/>
          <w:szCs w:val="24"/>
        </w:rPr>
      </w:pPr>
      <w:r w:rsidRPr="00D731CE">
        <w:rPr>
          <w:rFonts w:ascii="Times New Roman" w:hAnsi="Times New Roman" w:cs="Times New Roman"/>
          <w:sz w:val="24"/>
          <w:szCs w:val="24"/>
        </w:rPr>
        <w:t>The sectors used are the GICS as defined by Standard &amp; Poor’s</w:t>
      </w:r>
    </w:p>
    <w:p w14:paraId="0FC54603" w14:textId="5C42C43E" w:rsidR="00D731CE" w:rsidRDefault="00E301AC" w:rsidP="00D731CE">
      <w:pPr>
        <w:rPr>
          <w:rFonts w:ascii="Times New Roman" w:hAnsi="Times New Roman" w:cs="Times New Roman"/>
          <w:sz w:val="24"/>
          <w:szCs w:val="24"/>
        </w:rPr>
      </w:pPr>
      <w:r>
        <w:rPr>
          <w:rFonts w:ascii="Times New Roman" w:hAnsi="Times New Roman" w:cs="Times New Roman"/>
          <w:b/>
          <w:bCs/>
          <w:sz w:val="24"/>
          <w:szCs w:val="24"/>
        </w:rPr>
        <w:t>Fixed–Income</w:t>
      </w:r>
      <w:r w:rsidRPr="00E301AC">
        <w:rPr>
          <w:rFonts w:ascii="Times New Roman" w:hAnsi="Times New Roman" w:cs="Times New Roman"/>
          <w:b/>
          <w:bCs/>
          <w:sz w:val="24"/>
          <w:szCs w:val="24"/>
        </w:rPr>
        <w:t xml:space="preserve"> Holdings</w:t>
      </w:r>
      <w:r>
        <w:rPr>
          <w:rFonts w:ascii="Times New Roman" w:hAnsi="Times New Roman" w:cs="Times New Roman"/>
          <w:b/>
          <w:bCs/>
          <w:sz w:val="24"/>
          <w:szCs w:val="24"/>
        </w:rPr>
        <w:t xml:space="preserve">: </w:t>
      </w:r>
      <w:r w:rsidRPr="00E301AC">
        <w:rPr>
          <w:rFonts w:ascii="Times New Roman" w:hAnsi="Times New Roman" w:cs="Times New Roman"/>
          <w:sz w:val="24"/>
          <w:szCs w:val="24"/>
        </w:rPr>
        <w:t>Fixed-income</w:t>
      </w:r>
      <w:r>
        <w:rPr>
          <w:rFonts w:ascii="Times New Roman" w:hAnsi="Times New Roman" w:cs="Times New Roman"/>
          <w:sz w:val="24"/>
          <w:szCs w:val="24"/>
        </w:rPr>
        <w:t xml:space="preserve"> holdings will most likely consist of ETFs containing traditional fixed-income. However, individual positions will be considered on a pitch-by-pitch basis.</w:t>
      </w:r>
    </w:p>
    <w:p w14:paraId="172F2248" w14:textId="5CF1C126" w:rsidR="002B17FB" w:rsidRDefault="00E301AC" w:rsidP="00357984">
      <w:pPr>
        <w:rPr>
          <w:rFonts w:ascii="Times New Roman" w:hAnsi="Times New Roman" w:cs="Times New Roman"/>
          <w:sz w:val="24"/>
          <w:szCs w:val="24"/>
        </w:rPr>
      </w:pPr>
      <w:r w:rsidRPr="00E301AC">
        <w:rPr>
          <w:rFonts w:ascii="Times New Roman" w:hAnsi="Times New Roman" w:cs="Times New Roman"/>
          <w:b/>
          <w:bCs/>
          <w:sz w:val="24"/>
          <w:szCs w:val="24"/>
        </w:rPr>
        <w:t>Time Frame</w:t>
      </w:r>
      <w:r w:rsidRPr="00E301AC">
        <w:rPr>
          <w:rFonts w:ascii="Times New Roman" w:hAnsi="Times New Roman" w:cs="Times New Roman"/>
          <w:sz w:val="24"/>
          <w:szCs w:val="24"/>
        </w:rPr>
        <w:t xml:space="preserve">: </w:t>
      </w:r>
      <w:r w:rsidRPr="00E301AC">
        <w:rPr>
          <w:rFonts w:ascii="Times New Roman" w:hAnsi="Times New Roman" w:cs="Times New Roman"/>
          <w:sz w:val="24"/>
          <w:szCs w:val="24"/>
        </w:rPr>
        <w:t>Positions will be maintained as long as necessary, with close monitoring by the club leadership team. This oversight ensures that we consistently perform the due diligence required to make informed buy or sell decisions throughout the year.</w:t>
      </w:r>
    </w:p>
    <w:p w14:paraId="413751E6" w14:textId="77777777" w:rsidR="00316914" w:rsidRDefault="00316914" w:rsidP="00357984">
      <w:pPr>
        <w:rPr>
          <w:rFonts w:ascii="Times New Roman" w:hAnsi="Times New Roman" w:cs="Times New Roman"/>
          <w:b/>
          <w:bCs/>
          <w:sz w:val="24"/>
          <w:szCs w:val="24"/>
        </w:rPr>
      </w:pPr>
    </w:p>
    <w:p w14:paraId="7888BD26" w14:textId="77777777" w:rsidR="00316914" w:rsidRDefault="00316914" w:rsidP="00357984">
      <w:pPr>
        <w:rPr>
          <w:rFonts w:ascii="Times New Roman" w:hAnsi="Times New Roman" w:cs="Times New Roman"/>
          <w:b/>
          <w:bCs/>
          <w:sz w:val="24"/>
          <w:szCs w:val="24"/>
        </w:rPr>
      </w:pPr>
    </w:p>
    <w:p w14:paraId="507FAC1B" w14:textId="77777777" w:rsidR="00316914" w:rsidRDefault="00316914" w:rsidP="00357984">
      <w:pPr>
        <w:rPr>
          <w:rFonts w:ascii="Times New Roman" w:hAnsi="Times New Roman" w:cs="Times New Roman"/>
          <w:b/>
          <w:bCs/>
          <w:sz w:val="24"/>
          <w:szCs w:val="24"/>
        </w:rPr>
      </w:pPr>
    </w:p>
    <w:p w14:paraId="3E107D00" w14:textId="77777777" w:rsidR="00316914" w:rsidRDefault="00316914" w:rsidP="00357984">
      <w:pPr>
        <w:rPr>
          <w:rFonts w:ascii="Times New Roman" w:hAnsi="Times New Roman" w:cs="Times New Roman"/>
          <w:b/>
          <w:bCs/>
          <w:sz w:val="24"/>
          <w:szCs w:val="24"/>
        </w:rPr>
      </w:pPr>
    </w:p>
    <w:p w14:paraId="293A31F5" w14:textId="0709201B" w:rsidR="00480583" w:rsidRPr="00480583" w:rsidRDefault="00316914" w:rsidP="00357984">
      <w:pPr>
        <w:rPr>
          <w:rFonts w:ascii="Times New Roman" w:hAnsi="Times New Roman" w:cs="Times New Roman"/>
          <w:sz w:val="24"/>
          <w:szCs w:val="24"/>
        </w:rPr>
      </w:pPr>
      <w:r>
        <w:rPr>
          <w:rFonts w:ascii="Times New Roman" w:hAnsi="Times New Roman" w:cs="Times New Roman"/>
          <w:b/>
          <w:bCs/>
          <w:sz w:val="24"/>
          <w:szCs w:val="24"/>
        </w:rPr>
        <w:t xml:space="preserve">Buy or Sell Decisions: </w:t>
      </w:r>
      <w:r w:rsidRPr="00316914">
        <w:rPr>
          <w:rFonts w:ascii="Times New Roman" w:hAnsi="Times New Roman" w:cs="Times New Roman"/>
          <w:sz w:val="24"/>
          <w:szCs w:val="24"/>
        </w:rPr>
        <w:t xml:space="preserve">Every club member </w:t>
      </w:r>
      <w:proofErr w:type="gramStart"/>
      <w:r w:rsidRPr="00316914">
        <w:rPr>
          <w:rFonts w:ascii="Times New Roman" w:hAnsi="Times New Roman" w:cs="Times New Roman"/>
          <w:sz w:val="24"/>
          <w:szCs w:val="24"/>
        </w:rPr>
        <w:t>has the opportunity to</w:t>
      </w:r>
      <w:proofErr w:type="gramEnd"/>
      <w:r w:rsidRPr="00316914">
        <w:rPr>
          <w:rFonts w:ascii="Times New Roman" w:hAnsi="Times New Roman" w:cs="Times New Roman"/>
          <w:sz w:val="24"/>
          <w:szCs w:val="24"/>
        </w:rPr>
        <w:t xml:space="preserve"> present a stock pitch for the club's consideration. For an investment to be approved, 80% of the leadership team must endorse the pitch. While general members are encouraged to voice</w:t>
      </w:r>
      <w:r w:rsidR="00480583">
        <w:rPr>
          <w:rFonts w:ascii="Times New Roman" w:hAnsi="Times New Roman" w:cs="Times New Roman"/>
          <w:sz w:val="24"/>
          <w:szCs w:val="24"/>
        </w:rPr>
        <w:t>,</w:t>
      </w:r>
      <w:r w:rsidRPr="00316914">
        <w:rPr>
          <w:rFonts w:ascii="Times New Roman" w:hAnsi="Times New Roman" w:cs="Times New Roman"/>
          <w:sz w:val="24"/>
          <w:szCs w:val="24"/>
        </w:rPr>
        <w:t xml:space="preserve"> their opinions and the leadership team is expected to consider these perspectives when voting, the president or any affiliated staff member retains the authority to override or halt any investment decision, regardless of the vote outcome.</w:t>
      </w:r>
    </w:p>
    <w:p w14:paraId="0B2230AC" w14:textId="7A894CC6" w:rsidR="00E301AC" w:rsidRDefault="00E301AC" w:rsidP="00357984">
      <w:pPr>
        <w:rPr>
          <w:rFonts w:ascii="Times New Roman" w:hAnsi="Times New Roman" w:cs="Times New Roman"/>
          <w:sz w:val="24"/>
          <w:szCs w:val="24"/>
        </w:rPr>
      </w:pPr>
      <w:r w:rsidRPr="00E301AC">
        <w:rPr>
          <w:rFonts w:ascii="Times New Roman" w:hAnsi="Times New Roman" w:cs="Times New Roman"/>
          <w:b/>
          <w:bCs/>
          <w:sz w:val="24"/>
          <w:szCs w:val="24"/>
        </w:rPr>
        <w:t>Legal:</w:t>
      </w:r>
      <w:r>
        <w:rPr>
          <w:rFonts w:ascii="Times New Roman" w:hAnsi="Times New Roman" w:cs="Times New Roman"/>
          <w:b/>
          <w:bCs/>
          <w:sz w:val="24"/>
          <w:szCs w:val="24"/>
        </w:rPr>
        <w:t xml:space="preserve"> </w:t>
      </w:r>
      <w:r>
        <w:rPr>
          <w:rFonts w:ascii="Times New Roman" w:hAnsi="Times New Roman" w:cs="Times New Roman"/>
          <w:sz w:val="24"/>
          <w:szCs w:val="24"/>
        </w:rPr>
        <w:t xml:space="preserve">All assets managed by FUIC are the sole property of Furman University and </w:t>
      </w:r>
      <w:r w:rsidR="00316914">
        <w:rPr>
          <w:rFonts w:ascii="Times New Roman" w:hAnsi="Times New Roman" w:cs="Times New Roman"/>
          <w:sz w:val="24"/>
          <w:szCs w:val="24"/>
        </w:rPr>
        <w:t>are</w:t>
      </w:r>
      <w:r>
        <w:rPr>
          <w:rFonts w:ascii="Times New Roman" w:hAnsi="Times New Roman" w:cs="Times New Roman"/>
          <w:sz w:val="24"/>
          <w:szCs w:val="24"/>
        </w:rPr>
        <w:t xml:space="preserve"> put under the management of the organization with the trust that they will be </w:t>
      </w:r>
      <w:r w:rsidR="00316914">
        <w:rPr>
          <w:rFonts w:ascii="Times New Roman" w:hAnsi="Times New Roman" w:cs="Times New Roman"/>
          <w:sz w:val="24"/>
          <w:szCs w:val="24"/>
        </w:rPr>
        <w:t xml:space="preserve">responsibly managed. FUIC’s portfolio is in the custody of an established and reputable discount broker. Only FUIC’s faculty and staff have access to the account’s trading capabilities. The only student who may receive account access is the club President, who </w:t>
      </w:r>
      <w:proofErr w:type="gramStart"/>
      <w:r w:rsidR="00316914">
        <w:rPr>
          <w:rFonts w:ascii="Times New Roman" w:hAnsi="Times New Roman" w:cs="Times New Roman"/>
          <w:sz w:val="24"/>
          <w:szCs w:val="24"/>
        </w:rPr>
        <w:t>will  be</w:t>
      </w:r>
      <w:proofErr w:type="gramEnd"/>
      <w:r w:rsidR="00316914">
        <w:rPr>
          <w:rFonts w:ascii="Times New Roman" w:hAnsi="Times New Roman" w:cs="Times New Roman"/>
          <w:sz w:val="24"/>
          <w:szCs w:val="24"/>
        </w:rPr>
        <w:t xml:space="preserve"> required to sign appropriate legal forms that restrict them from trading and withdrawing assets.</w:t>
      </w:r>
    </w:p>
    <w:p w14:paraId="73C09E69" w14:textId="3F8A0D84" w:rsidR="00316914" w:rsidRPr="00316914" w:rsidRDefault="00316914" w:rsidP="00357984">
      <w:pPr>
        <w:rPr>
          <w:rFonts w:ascii="Times New Roman" w:hAnsi="Times New Roman" w:cs="Times New Roman"/>
          <w:sz w:val="24"/>
          <w:szCs w:val="24"/>
        </w:rPr>
      </w:pPr>
      <w:r w:rsidRPr="00316914">
        <w:rPr>
          <w:rFonts w:ascii="Times New Roman" w:hAnsi="Times New Roman" w:cs="Times New Roman"/>
          <w:b/>
          <w:bCs/>
          <w:sz w:val="24"/>
          <w:szCs w:val="24"/>
        </w:rPr>
        <w:t>Taxes</w:t>
      </w:r>
      <w:r>
        <w:rPr>
          <w:rFonts w:ascii="Times New Roman" w:hAnsi="Times New Roman" w:cs="Times New Roman"/>
          <w:b/>
          <w:bCs/>
          <w:sz w:val="24"/>
          <w:szCs w:val="24"/>
        </w:rPr>
        <w:t xml:space="preserve">: </w:t>
      </w:r>
      <w:r>
        <w:rPr>
          <w:rFonts w:ascii="Times New Roman" w:hAnsi="Times New Roman" w:cs="Times New Roman"/>
          <w:sz w:val="24"/>
          <w:szCs w:val="24"/>
        </w:rPr>
        <w:t>Furman University has tax-exempt status under Section 115 of the Internal Revenue Code. As such, FUIC does not have to pay any taxes on any of its investments, thus taxes do not weight into investment decisions.</w:t>
      </w:r>
    </w:p>
    <w:sectPr w:rsidR="00316914" w:rsidRPr="00316914" w:rsidSect="00357984">
      <w:headerReference w:type="default" r:id="rId7"/>
      <w:pgSz w:w="12240" w:h="15840"/>
      <w:pgMar w:top="720" w:right="720" w:bottom="720" w:left="72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endnote w:type="separator" w:id="-1">
    <w:p w14:paraId="49CCB1F6" w14:textId="77777777" w:rsidR="00D932EA" w:rsidRDefault="00D932EA" w:rsidP="00357984">
      <w:pPr>
        <w:spacing w:after="0" w:line="240" w:lineRule="auto"/>
      </w:pPr>
      <w:r>
        <w:separator/>
      </w:r>
    </w:p>
  </w:endnote>
  <w:endnote w:type="continuationSeparator" w:id="0">
    <w:p w14:paraId="7B452759" w14:textId="77777777" w:rsidR="00D932EA" w:rsidRDefault="00D932EA" w:rsidP="0035798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footnote w:type="separator" w:id="-1">
    <w:p w14:paraId="09599306" w14:textId="77777777" w:rsidR="00D932EA" w:rsidRDefault="00D932EA" w:rsidP="00357984">
      <w:pPr>
        <w:spacing w:after="0" w:line="240" w:lineRule="auto"/>
      </w:pPr>
      <w:r>
        <w:separator/>
      </w:r>
    </w:p>
  </w:footnote>
  <w:footnote w:type="continuationSeparator" w:id="0">
    <w:p w14:paraId="1B994855" w14:textId="77777777" w:rsidR="00D932EA" w:rsidRDefault="00D932EA" w:rsidP="0035798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5A19445" w14:textId="0D477DB0" w:rsidR="00357984" w:rsidRDefault="00357984">
    <w:pPr>
      <w:pStyle w:val="Header"/>
    </w:pPr>
    <w:r>
      <w:rPr>
        <w:noProof/>
      </w:rPr>
      <w:drawing>
        <wp:inline distT="0" distB="0" distL="0" distR="0" wp14:anchorId="0BD9A684" wp14:editId="6BE04720">
          <wp:extent cx="2295525" cy="895191"/>
          <wp:effectExtent l="0" t="0" r="0" b="635"/>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2320940" cy="905102"/>
                  </a:xfrm>
                  <a:prstGeom prst="rect">
                    <a:avLst/>
                  </a:prstGeom>
                  <a:noFill/>
                  <a:ln>
                    <a:noFill/>
                  </a:ln>
                </pic:spPr>
              </pic:pic>
            </a:graphicData>
          </a:graphic>
        </wp:inline>
      </w:drawing>
    </w:r>
    <w:r>
      <w:tab/>
    </w:r>
    <w:r>
      <w:tab/>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35C923E7"/>
    <w:multiLevelType w:val="hybridMultilevel"/>
    <w:tmpl w:val="50FC3E92"/>
    <w:lvl w:ilvl="0" w:tplc="6C660D94">
      <w:start w:val="1"/>
      <w:numFmt w:val="decimal"/>
      <w:lvlText w:val="%1)"/>
      <w:lvlJc w:val="left"/>
      <w:pPr>
        <w:ind w:left="1080" w:hanging="360"/>
      </w:pPr>
      <w:rPr>
        <w:rFonts w:hint="default"/>
      </w:r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num w:numId="1" w16cid:durableId="1320842275">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76"/>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57984"/>
    <w:rsid w:val="002B17FB"/>
    <w:rsid w:val="002D2AC7"/>
    <w:rsid w:val="00316914"/>
    <w:rsid w:val="00357984"/>
    <w:rsid w:val="00480583"/>
    <w:rsid w:val="005702A0"/>
    <w:rsid w:val="00634998"/>
    <w:rsid w:val="00D731CE"/>
    <w:rsid w:val="00D932EA"/>
    <w:rsid w:val="00E301AC"/>
    <w:rsid w:val="00FF3C42"/>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08A1508E"/>
  <w15:chartTrackingRefBased/>
  <w15:docId w15:val="{E609D02D-C758-4099-BBFF-9CF39781E05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357984"/>
    <w:pPr>
      <w:tabs>
        <w:tab w:val="center" w:pos="4680"/>
        <w:tab w:val="right" w:pos="9360"/>
      </w:tabs>
      <w:spacing w:after="0" w:line="240" w:lineRule="auto"/>
    </w:pPr>
  </w:style>
  <w:style w:type="character" w:customStyle="1" w:styleId="HeaderChar">
    <w:name w:val="Header Char"/>
    <w:basedOn w:val="DefaultParagraphFont"/>
    <w:link w:val="Header"/>
    <w:uiPriority w:val="99"/>
    <w:rsid w:val="00357984"/>
  </w:style>
  <w:style w:type="paragraph" w:styleId="Footer">
    <w:name w:val="footer"/>
    <w:basedOn w:val="Normal"/>
    <w:link w:val="FooterChar"/>
    <w:uiPriority w:val="99"/>
    <w:unhideWhenUsed/>
    <w:rsid w:val="00357984"/>
    <w:pPr>
      <w:tabs>
        <w:tab w:val="center" w:pos="4680"/>
        <w:tab w:val="right" w:pos="9360"/>
      </w:tabs>
      <w:spacing w:after="0" w:line="240" w:lineRule="auto"/>
    </w:pPr>
  </w:style>
  <w:style w:type="character" w:customStyle="1" w:styleId="FooterChar">
    <w:name w:val="Footer Char"/>
    <w:basedOn w:val="DefaultParagraphFont"/>
    <w:link w:val="Footer"/>
    <w:uiPriority w:val="99"/>
    <w:rsid w:val="00357984"/>
  </w:style>
  <w:style w:type="paragraph" w:styleId="ListParagraph">
    <w:name w:val="List Paragraph"/>
    <w:basedOn w:val="Normal"/>
    <w:uiPriority w:val="34"/>
    <w:qFormat/>
    <w:rsid w:val="00D731CE"/>
    <w:pPr>
      <w:ind w:left="720"/>
      <w:contextualSpacing/>
    </w:pPr>
  </w:style>
  <w:style w:type="table" w:styleId="TableGrid">
    <w:name w:val="Table Grid"/>
    <w:basedOn w:val="TableNormal"/>
    <w:uiPriority w:val="39"/>
    <w:rsid w:val="00D731CE"/>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GridTable2">
    <w:name w:val="Grid Table 2"/>
    <w:basedOn w:val="TableNormal"/>
    <w:uiPriority w:val="47"/>
    <w:rsid w:val="00D731CE"/>
    <w:pPr>
      <w:spacing w:after="0" w:line="240" w:lineRule="auto"/>
    </w:p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2</TotalTime>
  <Pages>2</Pages>
  <Words>525</Words>
  <Characters>2853</Characters>
  <Application>Microsoft Office Word</Application>
  <DocSecurity>0</DocSecurity>
  <Lines>52</Lines>
  <Paragraphs>27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3351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Pedro Albuquerque Moreira0-Student</dc:creator>
  <cp:keywords/>
  <dc:description/>
  <cp:lastModifiedBy>Pedro Moreira</cp:lastModifiedBy>
  <cp:revision>2</cp:revision>
  <dcterms:created xsi:type="dcterms:W3CDTF">2024-08-26T18:36:00Z</dcterms:created>
  <dcterms:modified xsi:type="dcterms:W3CDTF">2024-08-26T18:36:00Z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27c2fd030699d4a604743ec3fab21fc8de7229fa8f5afe73746d7f23e7cb01bb</vt:lpwstr>
  </property>
</Properties>
</file>