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pBdr>
          <w:bottom w:val="single" w:color="2E86C1" w:sz="12" w:space="8"/>
        </w:pBdr>
      </w:pPr>
    </w:p>
    <w:p>
      <w:pPr>
        <w:spacing w:after="0" w:before="400"/>
      </w:pPr>
    </w:p>
    <w:p>
      <w:pPr>
        <w:spacing w:after="80" w:before="0"/>
        <w:jc w:val="left"/>
      </w:pPr>
      <w:r>
        <w:rPr>
          <w:rFonts w:ascii="Arial" w:cs="Arial" w:eastAsia="Arial" w:hAnsi="Arial"/>
          <w:b/>
          <w:bCs/>
          <w:color w:val="2E86C1"/>
          <w:spacing w:val="200"/>
          <w:sz w:val="20"/>
          <w:szCs w:val="20"/>
        </w:rPr>
        <w:t xml:space="preserve">SOLUTION PROPOSAL</w:t>
      </w:r>
    </w:p>
    <w:p>
      <w:pPr>
        <w:spacing w:after="40" w:before="0"/>
        <w:jc w:val="left"/>
      </w:pPr>
      <w:r>
        <w:rPr>
          <w:rFonts w:ascii="Arial" w:cs="Arial" w:eastAsia="Arial" w:hAnsi="Arial"/>
          <w:b/>
          <w:bCs/>
          <w:color w:val="1B4F72"/>
          <w:sz w:val="48"/>
          <w:szCs w:val="48"/>
        </w:rPr>
        <w:t xml:space="preserve">Enabling Unified Clinical Education</w:t>
      </w:r>
    </w:p>
    <w:p>
      <w:pPr>
        <w:spacing w:after="40" w:before="0"/>
        <w:jc w:val="left"/>
      </w:pPr>
      <w:r>
        <w:rPr>
          <w:rFonts w:ascii="Arial" w:cs="Arial" w:eastAsia="Arial" w:hAnsi="Arial"/>
          <w:b/>
          <w:bCs/>
          <w:color w:val="1B4F72"/>
          <w:sz w:val="48"/>
          <w:szCs w:val="48"/>
        </w:rPr>
        <w:t xml:space="preserve">Operations Through an Integrated</w:t>
      </w:r>
    </w:p>
    <w:p>
      <w:pPr>
        <w:spacing w:after="200" w:before="0"/>
        <w:jc w:val="left"/>
      </w:pPr>
      <w:r>
        <w:rPr>
          <w:rFonts w:ascii="Arial" w:cs="Arial" w:eastAsia="Arial" w:hAnsi="Arial"/>
          <w:b/>
          <w:bCs/>
          <w:color w:val="1B4F72"/>
          <w:sz w:val="48"/>
          <w:szCs w:val="48"/>
        </w:rPr>
        <w:t xml:space="preserve">Digital Platform</w:t>
      </w:r>
    </w:p>
    <w:p>
      <w:pPr>
        <w:spacing w:after="0" w:before="80"/>
      </w:pPr>
    </w:p>
    <w:p>
      <w:pPr>
        <w:spacing w:after="60" w:before="0"/>
        <w:jc w:val="left"/>
      </w:pPr>
      <w:r>
        <w:rPr>
          <w:rFonts w:ascii="Arial" w:cs="Arial" w:eastAsia="Arial" w:hAnsi="Arial"/>
          <w:color w:val="2E86C1"/>
          <w:sz w:val="22"/>
          <w:szCs w:val="22"/>
        </w:rPr>
        <w:t xml:space="preserve">IMDA Open Innovation Platform  |  Call 28  |  March 2026</w:t>
      </w:r>
    </w:p>
    <w:p>
      <w:pPr>
        <w:spacing w:after="300" w:before="0"/>
        <w:jc w:val="left"/>
      </w:pPr>
      <w:r>
        <w:rPr>
          <w:rFonts w:ascii="Arial" w:cs="Arial" w:eastAsia="Arial" w:hAnsi="Arial"/>
          <w:color w:val="2C3E50"/>
          <w:sz w:val="22"/>
          <w:szCs w:val="22"/>
        </w:rPr>
        <w:t xml:space="preserve">Challenge Owner: National University Hospital (NUH) — Medical Affairs (Education)</w:t>
      </w:r>
    </w:p>
    <w:p>
      <w:pPr>
        <w:pBdr>
          <w:bottom w:val="single" w:color="2E86C1" w:sz="12" w:space="8"/>
        </w:pBdr>
      </w:pPr>
    </w:p>
    <w:p>
      <w:pPr>
        <w:spacing w:after="0" w:before="3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BDC3C7"/>
                <w:sz w:val="20"/>
                <w:szCs w:val="20"/>
              </w:rPr>
              <w:t xml:space="preserve">Submitted by</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b/>
                <w:bCs/>
                <w:color w:val="1B4F72"/>
                <w:sz w:val="20"/>
                <w:szCs w:val="20"/>
              </w:rPr>
              <w:t xml:space="preserve">SlashLLM</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BDC3C7"/>
                <w:sz w:val="20"/>
                <w:szCs w:val="20"/>
              </w:rPr>
              <w:t xml:space="preserve">Date</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C3E50"/>
                <w:sz w:val="20"/>
                <w:szCs w:val="20"/>
              </w:rPr>
              <w:t xml:space="preserve">April 2026</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BDC3C7"/>
                <w:sz w:val="20"/>
                <w:szCs w:val="20"/>
              </w:rPr>
              <w:t xml:space="preserve">Version</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C3E50"/>
                <w:sz w:val="20"/>
                <w:szCs w:val="20"/>
              </w:rPr>
              <w:t xml:space="preserve">1.0</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BDC3C7"/>
                <w:sz w:val="20"/>
                <w:szCs w:val="20"/>
              </w:rPr>
              <w:t xml:space="preserve">Contact</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C3E50"/>
                <w:sz w:val="20"/>
                <w:szCs w:val="20"/>
              </w:rPr>
              <w:t xml:space="preserve">Mridhul Pax, CEO &amp; Chief Architect</w:t>
            </w:r>
          </w:p>
        </w:tc>
      </w:tr>
    </w:tbl>
    <w:p>
      <w:r>
        <w:br w:type="page"/>
      </w:r>
    </w:p>
    <w:p>
      <w:pPr>
        <w:sectPr>
          <w:pgSz w:w="12240" w:h="15840" w:orient="portrait"/>
          <w:pgMar w:top="1440" w:right="1440" w:bottom="1440" w:left="1440" w:header="708" w:footer="708" w:gutter="0"/>
          <w:pgNumType/>
          <w:docGrid w:linePitch="360"/>
        </w:sectPr>
      </w:pPr>
    </w:p>
    <w:p>
      <w:pPr>
        <w:pBdr>
          <w:bottom w:val="single" w:color="2E86C1" w:sz="6" w:space="8"/>
        </w:pBdr>
        <w:spacing w:after="60" w:before="360"/>
      </w:pPr>
      <w:r>
        <w:rPr>
          <w:rFonts w:ascii="Arial" w:cs="Arial" w:eastAsia="Arial" w:hAnsi="Arial"/>
          <w:b/>
          <w:bCs/>
          <w:color w:val="1B4F72"/>
          <w:sz w:val="32"/>
          <w:szCs w:val="32"/>
        </w:rPr>
        <w:t xml:space="preserve">Executive Summary</w:t>
      </w:r>
    </w:p>
    <w:p>
      <w:pPr>
        <w:spacing w:after="0" w:before="100"/>
      </w:pPr>
    </w:p>
    <w:p>
      <w:pPr>
        <w:spacing w:after="80" w:before="80" w:line="276"/>
        <w:jc w:val="both"/>
      </w:pPr>
      <w:r>
        <w:rPr>
          <w:rFonts w:ascii="Arial" w:cs="Arial" w:eastAsia="Arial" w:hAnsi="Arial"/>
          <w:color w:val="2C3E50"/>
          <w:sz w:val="21"/>
          <w:szCs w:val="21"/>
        </w:rPr>
        <w:t xml:space="preserve">NUH’s Medical Affairs (Education) department coordinates clinical education across four disciplines — Medicine, Allied Health, Nursing, and Training Programmes — serving hundreds of students from partner institutions including NUS, SIT, Singapore Polytechnic, and PSB Academy each academic cycle. Today, this coordination relies on a patchwork of Excel spreadsheets, FormSG submissions, email threads, and disconnected systems. The result is duplicated effort, inconsistent data, delayed reporting, and administrative teams spending days on tasks that should take minutes.</w:t>
      </w:r>
    </w:p>
    <w:p>
      <w:pPr>
        <w:spacing w:after="80" w:before="80" w:line="276"/>
        <w:jc w:val="both"/>
      </w:pPr>
      <w:r>
        <w:rPr>
          <w:rFonts w:ascii="Arial" w:cs="Arial" w:eastAsia="Arial" w:hAnsi="Arial"/>
          <w:b/>
          <w:bCs/>
          <w:i w:val="false"/>
          <w:iCs w:val="false"/>
          <w:color w:val="2C3E50"/>
          <w:sz w:val="21"/>
          <w:szCs w:val="21"/>
        </w:rPr>
        <w:t xml:space="preserve">ClinEdOps</w:t>
      </w:r>
      <w:r>
        <w:rPr>
          <w:rFonts w:ascii="Arial" w:cs="Arial" w:eastAsia="Arial" w:hAnsi="Arial"/>
          <w:b w:val="false"/>
          <w:bCs w:val="false"/>
          <w:i w:val="false"/>
          <w:iCs w:val="false"/>
          <w:color w:val="2C3E50"/>
          <w:sz w:val="21"/>
          <w:szCs w:val="21"/>
        </w:rPr>
        <w:t xml:space="preserve"> is our answer to this challenge: a unified, web-based platform purpose-built for NUH’s clinical education operations. It replaces fragmented manual processes with a single source of truth for student and tutor lifecycle management, teaching hour tracking with multi-level approval, configurable survey and feedback collection, real-time dashboards, and automated report generation — all governed by role-based access control and a full audit trail.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4"/>
              <w:bottom w:val="single" w:color="2E86C1" w:sz="4"/>
              <w:right w:val="single" w:color="2E86C1" w:sz="4"/>
            </w:tcBorders>
            <w:shd w:fill="D6EAF8" w:val="clear"/>
            <w:tcMar>
              <w:top w:type="dxa" w:w="140"/>
              <w:left w:type="dxa" w:w="200"/>
              <w:bottom w:type="dxa" w:w="140"/>
              <w:right w:type="dxa" w:w="200"/>
            </w:tcMar>
          </w:tcPr>
          <w:p>
            <w:pPr>
              <w:spacing w:after="60" w:before="0"/>
            </w:pPr>
            <w:r>
              <w:rPr>
                <w:rFonts w:ascii="Arial" w:cs="Arial" w:eastAsia="Arial" w:hAnsi="Arial"/>
                <w:b/>
                <w:bCs/>
                <w:color w:val="1B4F72"/>
                <w:sz w:val="22"/>
                <w:szCs w:val="22"/>
              </w:rPr>
              <w:t xml:space="preserve">ClinEdOps is not a concept — it is already built and fully demoable.</w:t>
            </w:r>
          </w:p>
          <w:p>
            <w:pPr>
              <w:spacing w:after="0" w:before="0" w:line="276"/>
            </w:pPr>
            <w:r>
              <w:rPr>
                <w:rFonts w:ascii="Arial" w:cs="Arial" w:eastAsia="Arial" w:hAnsi="Arial"/>
                <w:color w:val="154360"/>
                <w:sz w:val="21"/>
                <w:szCs w:val="21"/>
              </w:rPr>
              <w:t xml:space="preserve">Our working prototype covers all nine core modules specified in the challenge brief, runs on a modern React + FastAPI + PostgreSQL stack, and is fully architected for production deployment on AWS Singapore (ap-southeast-1) — with all infrastructure design, security posture, and scaling strategies mapped out and ready for deployment.</w:t>
            </w:r>
          </w:p>
        </w:tc>
      </w:tr>
    </w:tbl>
    <w:p>
      <w:pPr>
        <w:spacing w:after="0" w:before="60"/>
      </w:pPr>
    </w:p>
    <w:p>
      <w:pPr>
        <w:spacing w:after="80" w:before="80" w:line="276"/>
        <w:jc w:val="both"/>
      </w:pPr>
      <w:r>
        <w:rPr>
          <w:rFonts w:ascii="Arial" w:cs="Arial" w:eastAsia="Arial" w:hAnsi="Arial"/>
          <w:color w:val="2C3E50"/>
          <w:sz w:val="21"/>
          <w:szCs w:val="21"/>
        </w:rPr>
        <w:t xml:space="preserve">We have moved from problem understanding to a functional product in weeks, not months, demonstrating the speed, technical depth, and execution capability that SlashLLM brings to every engagement.</w:t>
      </w:r>
    </w:p>
    <w:p>
      <w:pPr>
        <w:spacing w:after="80" w:before="80" w:line="276"/>
        <w:jc w:val="both"/>
      </w:pPr>
      <w:r>
        <w:rPr>
          <w:rFonts w:ascii="Arial" w:cs="Arial" w:eastAsia="Arial" w:hAnsi="Arial"/>
          <w:color w:val="2C3E50"/>
          <w:sz w:val="21"/>
          <w:szCs w:val="21"/>
        </w:rPr>
        <w:t xml:space="preserve">Our platform directly addresses every pain point identified in the challenge brief: from eliminating manual data consolidation and inaccurate teaching hour records, to solving survey fatigue through intelligent batched feedback collection, to delivering one-click report generation that reduces a five-minute manual process to under one minute. The architecture is designed to scale — from a single-institution POC to a multi-institution deployment across the NUHS network — without requiring heavy custom coding.</w:t>
      </w:r>
    </w:p>
    <w:p>
      <w:r>
        <w:br w:type="page"/>
      </w:r>
    </w:p>
    <w:p>
      <w:pPr>
        <w:pBdr>
          <w:bottom w:val="single" w:color="2E86C1" w:sz="6" w:space="8"/>
        </w:pBdr>
        <w:spacing w:after="60" w:before="360"/>
      </w:pPr>
      <w:r>
        <w:rPr>
          <w:rFonts w:ascii="Arial" w:cs="Arial" w:eastAsia="Arial" w:hAnsi="Arial"/>
          <w:b/>
          <w:bCs/>
          <w:color w:val="1B4F72"/>
          <w:sz w:val="32"/>
          <w:szCs w:val="32"/>
        </w:rPr>
        <w:t xml:space="preserve">1. Understanding the Problem</w:t>
      </w:r>
    </w:p>
    <w:p>
      <w:pPr>
        <w:spacing w:after="100" w:before="280"/>
      </w:pPr>
      <w:r>
        <w:rPr>
          <w:rFonts w:ascii="Arial" w:cs="Arial" w:eastAsia="Arial" w:hAnsi="Arial"/>
          <w:b/>
          <w:bCs/>
          <w:color w:val="154360"/>
          <w:sz w:val="26"/>
          <w:szCs w:val="26"/>
        </w:rPr>
        <w:t xml:space="preserve">1.1 The Challenge</w:t>
      </w:r>
    </w:p>
    <w:p>
      <w:pPr>
        <w:spacing w:after="80" w:before="80" w:line="276"/>
        <w:jc w:val="both"/>
      </w:pPr>
      <w:r>
        <w:rPr>
          <w:rFonts w:ascii="Arial" w:cs="Arial" w:eastAsia="Arial" w:hAnsi="Arial"/>
          <w:color w:val="2C3E50"/>
          <w:sz w:val="21"/>
          <w:szCs w:val="21"/>
        </w:rPr>
        <w:t xml:space="preserve">NUH’s Medical Affairs (Education) department faces a fundamental operational challenge: as clinical education has grown in scale and complexity across Medicine, Allied Health, Nursing, and Training programmes, the tools supporting it have not kept pace. Administrative teams are trapped in a cycle of manual data entry, fragmented record-keeping, and time-consuming report generation that limits their ability to scale, maintain data quality, and make timely decisions.</w:t>
      </w:r>
    </w:p>
    <w:p>
      <w:pPr>
        <w:spacing w:after="100" w:before="280"/>
      </w:pPr>
      <w:r>
        <w:rPr>
          <w:rFonts w:ascii="Arial" w:cs="Arial" w:eastAsia="Arial" w:hAnsi="Arial"/>
          <w:b/>
          <w:bCs/>
          <w:color w:val="154360"/>
          <w:sz w:val="26"/>
          <w:szCs w:val="26"/>
        </w:rPr>
        <w:t xml:space="preserve">1.2 Current Pain Points We Address</w:t>
      </w:r>
    </w:p>
    <w:p>
      <w:pPr>
        <w:spacing w:after="80" w:before="80" w:line="276"/>
        <w:jc w:val="both"/>
      </w:pPr>
      <w:r>
        <w:rPr>
          <w:rFonts w:ascii="Arial" w:cs="Arial" w:eastAsia="Arial" w:hAnsi="Arial"/>
          <w:b/>
          <w:bCs/>
          <w:i w:val="false"/>
          <w:iCs w:val="false"/>
          <w:color w:val="2C3E50"/>
          <w:sz w:val="21"/>
          <w:szCs w:val="21"/>
        </w:rPr>
        <w:t xml:space="preserve">Fragmented student lifecycle management. </w:t>
      </w:r>
      <w:r>
        <w:rPr>
          <w:rFonts w:ascii="Arial" w:cs="Arial" w:eastAsia="Arial" w:hAnsi="Arial"/>
          <w:b w:val="false"/>
          <w:bCs w:val="false"/>
          <w:i w:val="false"/>
          <w:iCs w:val="false"/>
          <w:color w:val="2C3E50"/>
          <w:sz w:val="21"/>
          <w:szCs w:val="21"/>
        </w:rPr>
        <w:t xml:space="preserve">There is no integrated system to manage the end-to-end pre-boarding, onboarding, and offboarding process. Administrative staff toggle between Excel trackers, email chains, and FormSG submissions to manage students across disciplines and institutions. Each handoff introduces the risk of data loss, duplication, or inconsistency.</w:t>
      </w:r>
    </w:p>
    <w:p>
      <w:pPr>
        <w:spacing w:after="80" w:before="80" w:line="276"/>
        <w:jc w:val="both"/>
      </w:pPr>
      <w:r>
        <w:rPr>
          <w:rFonts w:ascii="Arial" w:cs="Arial" w:eastAsia="Arial" w:hAnsi="Arial"/>
          <w:b/>
          <w:bCs/>
          <w:i w:val="false"/>
          <w:iCs w:val="false"/>
          <w:color w:val="2C3E50"/>
          <w:sz w:val="21"/>
          <w:szCs w:val="21"/>
        </w:rPr>
        <w:t xml:space="preserve">Disconnected and manual data management. </w:t>
      </w:r>
      <w:r>
        <w:rPr>
          <w:rFonts w:ascii="Arial" w:cs="Arial" w:eastAsia="Arial" w:hAnsi="Arial"/>
          <w:b w:val="false"/>
          <w:bCs w:val="false"/>
          <w:i w:val="false"/>
          <w:iCs w:val="false"/>
          <w:color w:val="2C3E50"/>
          <w:sz w:val="21"/>
          <w:szCs w:val="21"/>
        </w:rPr>
        <w:t xml:space="preserve">Teaching and feedback data are stored across multiple unlinked platforms. A programme administrator like Sarah — who coordinates clinical postings for physiotherapy, occupational therapy, and speech therapy students — currently maintains multiple Excel spreadsheets to track students, tutors, and teaching hours. During peak periods, she spends days consolidating data for tutor appraisals and awards.</w:t>
      </w:r>
    </w:p>
    <w:p>
      <w:pPr>
        <w:spacing w:after="80" w:before="80" w:line="276"/>
        <w:jc w:val="both"/>
      </w:pPr>
      <w:r>
        <w:rPr>
          <w:rFonts w:ascii="Arial" w:cs="Arial" w:eastAsia="Arial" w:hAnsi="Arial"/>
          <w:b/>
          <w:bCs/>
          <w:i w:val="false"/>
          <w:iCs w:val="false"/>
          <w:color w:val="2C3E50"/>
          <w:sz w:val="21"/>
          <w:szCs w:val="21"/>
        </w:rPr>
        <w:t xml:space="preserve">Inaccurate tracking of teaching hours. </w:t>
      </w:r>
      <w:r>
        <w:rPr>
          <w:rFonts w:ascii="Arial" w:cs="Arial" w:eastAsia="Arial" w:hAnsi="Arial"/>
          <w:b w:val="false"/>
          <w:bCs w:val="false"/>
          <w:i w:val="false"/>
          <w:iCs w:val="false"/>
          <w:color w:val="2C3E50"/>
          <w:sz w:val="21"/>
          <w:szCs w:val="21"/>
        </w:rPr>
        <w:t xml:space="preserve">Teaching hours are manually logged or optionally submitted by students, leading to low compliance and inaccurate records. Dr Aisha, a medical tutor supervising students across different rotations, currently logs hours through a cumbersome multi-screen system with limited visibility into whether her hours have been approved or accurately recorded.</w:t>
      </w:r>
    </w:p>
    <w:p>
      <w:pPr>
        <w:spacing w:after="80" w:before="80" w:line="276"/>
        <w:jc w:val="both"/>
      </w:pPr>
      <w:r>
        <w:rPr>
          <w:rFonts w:ascii="Arial" w:cs="Arial" w:eastAsia="Arial" w:hAnsi="Arial"/>
          <w:b/>
          <w:bCs/>
          <w:i w:val="false"/>
          <w:iCs w:val="false"/>
          <w:color w:val="2C3E50"/>
          <w:sz w:val="21"/>
          <w:szCs w:val="21"/>
        </w:rPr>
        <w:t xml:space="preserve">Inefficient feedback monitoring. </w:t>
      </w:r>
      <w:r>
        <w:rPr>
          <w:rFonts w:ascii="Arial" w:cs="Arial" w:eastAsia="Arial" w:hAnsi="Arial"/>
          <w:b w:val="false"/>
          <w:bCs w:val="false"/>
          <w:i w:val="false"/>
          <w:iCs w:val="false"/>
          <w:color w:val="2C3E50"/>
          <w:sz w:val="21"/>
          <w:szCs w:val="21"/>
        </w:rPr>
        <w:t xml:space="preserve">Feedback collection lacks automation and real-time visibility, resulting in missed submissions, compliance gaps, and delayed follow-ups. Administrators must manually track feedback completion and send individual reminders to students.</w:t>
      </w:r>
    </w:p>
    <w:p>
      <w:pPr>
        <w:spacing w:after="80" w:before="80" w:line="276"/>
        <w:jc w:val="both"/>
      </w:pPr>
      <w:r>
        <w:rPr>
          <w:rFonts w:ascii="Arial" w:cs="Arial" w:eastAsia="Arial" w:hAnsi="Arial"/>
          <w:b/>
          <w:bCs/>
          <w:i w:val="false"/>
          <w:iCs w:val="false"/>
          <w:color w:val="2C3E50"/>
          <w:sz w:val="21"/>
          <w:szCs w:val="21"/>
        </w:rPr>
        <w:t xml:space="preserve">Survey overload and fatigue. </w:t>
      </w:r>
      <w:r>
        <w:rPr>
          <w:rFonts w:ascii="Arial" w:cs="Arial" w:eastAsia="Arial" w:hAnsi="Arial"/>
          <w:b w:val="false"/>
          <w:bCs w:val="false"/>
          <w:i w:val="false"/>
          <w:iCs w:val="false"/>
          <w:color w:val="2C3E50"/>
          <w:sz w:val="21"/>
          <w:szCs w:val="21"/>
        </w:rPr>
        <w:t xml:space="preserve">Students currently receive a feedback survey for every single tutor interaction in a day, regardless of how many sessions they attend. This per-interaction approach results in survey fatigue and low participation rates, undermining the quality of feedback data.</w:t>
      </w:r>
    </w:p>
    <w:p>
      <w:pPr>
        <w:spacing w:after="80" w:before="80" w:line="276"/>
        <w:jc w:val="both"/>
      </w:pPr>
      <w:r>
        <w:rPr>
          <w:rFonts w:ascii="Arial" w:cs="Arial" w:eastAsia="Arial" w:hAnsi="Arial"/>
          <w:b/>
          <w:bCs/>
          <w:i w:val="false"/>
          <w:iCs w:val="false"/>
          <w:color w:val="2C3E50"/>
          <w:sz w:val="21"/>
          <w:szCs w:val="21"/>
        </w:rPr>
        <w:t xml:space="preserve">Reporting and analytics bottlenecks. </w:t>
      </w:r>
      <w:r>
        <w:rPr>
          <w:rFonts w:ascii="Arial" w:cs="Arial" w:eastAsia="Arial" w:hAnsi="Arial"/>
          <w:b w:val="false"/>
          <w:bCs w:val="false"/>
          <w:i w:val="false"/>
          <w:iCs w:val="false"/>
          <w:color w:val="2C3E50"/>
          <w:sz w:val="21"/>
          <w:szCs w:val="21"/>
        </w:rPr>
        <w:t xml:space="preserve">Bryan, the head of Medical Affairs, needs cross-disciplinary visibility into teaching contributions, feedback trends, and compliance rates. Today, he relies on manually compiled reports that may already be outdated. Generating a single faculty appraisal report takes approximately five minutes.</w:t>
      </w:r>
    </w:p>
    <w:p>
      <w:pPr>
        <w:spacing w:after="80" w:before="80" w:line="276"/>
        <w:jc w:val="both"/>
      </w:pPr>
      <w:r>
        <w:rPr>
          <w:rFonts w:ascii="Arial" w:cs="Arial" w:eastAsia="Arial" w:hAnsi="Arial"/>
          <w:b/>
          <w:bCs/>
          <w:i w:val="false"/>
          <w:iCs w:val="false"/>
          <w:color w:val="2C3E50"/>
          <w:sz w:val="21"/>
          <w:szCs w:val="21"/>
        </w:rPr>
        <w:t xml:space="preserve">Lack of unified oversight. </w:t>
      </w:r>
      <w:r>
        <w:rPr>
          <w:rFonts w:ascii="Arial" w:cs="Arial" w:eastAsia="Arial" w:hAnsi="Arial"/>
          <w:b w:val="false"/>
          <w:bCs w:val="false"/>
          <w:i w:val="false"/>
          <w:iCs w:val="false"/>
          <w:color w:val="2C3E50"/>
          <w:sz w:val="21"/>
          <w:szCs w:val="21"/>
        </w:rPr>
        <w:t xml:space="preserve">Data across disciplines is fragmented with no unified cross-discipline view, making it difficult for department heads to obtain a consolidated picture of teaching quality, compliance rates, and programme performance.</w:t>
      </w:r>
    </w:p>
    <w:p>
      <w:pPr>
        <w:spacing w:after="100" w:before="280"/>
      </w:pPr>
      <w:r>
        <w:rPr>
          <w:rFonts w:ascii="Arial" w:cs="Arial" w:eastAsia="Arial" w:hAnsi="Arial"/>
          <w:b/>
          <w:bCs/>
          <w:color w:val="154360"/>
          <w:sz w:val="26"/>
          <w:szCs w:val="26"/>
        </w:rPr>
        <w:t xml:space="preserve">1.3 Why Previous Approaches Have Not Worked</w:t>
      </w:r>
    </w:p>
    <w:p>
      <w:pPr>
        <w:spacing w:after="80" w:before="80" w:line="276"/>
        <w:jc w:val="both"/>
      </w:pPr>
      <w:r>
        <w:rPr>
          <w:rFonts w:ascii="Arial" w:cs="Arial" w:eastAsia="Arial" w:hAnsi="Arial"/>
          <w:color w:val="2C3E50"/>
          <w:sz w:val="21"/>
          <w:szCs w:val="21"/>
        </w:rPr>
        <w:t xml:space="preserve">NUH has trialled several solutions — QR code-based surveys, Microsoft Power Apps for structured data capture, and upgrades to the NUS BLUE system. However, these approaches were piecemeal enhancements that did not sufficiently streamline and integrate workflows, standardise data, or provide a single, reliable source of truth across disciplines. ClinEdOps is designed from the ground up to be that single source of truth.</w:t>
      </w:r>
    </w:p>
    <w:p>
      <w:r>
        <w:br w:type="page"/>
      </w:r>
    </w:p>
    <w:p>
      <w:pPr>
        <w:pBdr>
          <w:bottom w:val="single" w:color="2E86C1" w:sz="6" w:space="8"/>
        </w:pBdr>
        <w:spacing w:after="60" w:before="360"/>
      </w:pPr>
      <w:r>
        <w:rPr>
          <w:rFonts w:ascii="Arial" w:cs="Arial" w:eastAsia="Arial" w:hAnsi="Arial"/>
          <w:b/>
          <w:bCs/>
          <w:color w:val="1B4F72"/>
          <w:sz w:val="32"/>
          <w:szCs w:val="32"/>
        </w:rPr>
        <w:t xml:space="preserve">2. Our Solution — ClinEdOps Platform</w:t>
      </w:r>
    </w:p>
    <w:p>
      <w:pPr>
        <w:spacing w:after="100" w:before="280"/>
      </w:pPr>
      <w:r>
        <w:rPr>
          <w:rFonts w:ascii="Arial" w:cs="Arial" w:eastAsia="Arial" w:hAnsi="Arial"/>
          <w:b/>
          <w:bCs/>
          <w:color w:val="154360"/>
          <w:sz w:val="26"/>
          <w:szCs w:val="26"/>
        </w:rPr>
        <w:t xml:space="preserve">2.1 Solution Overview</w:t>
      </w:r>
    </w:p>
    <w:p>
      <w:pPr>
        <w:spacing w:after="80" w:before="80" w:line="276"/>
        <w:jc w:val="both"/>
      </w:pPr>
      <w:r>
        <w:rPr>
          <w:rFonts w:ascii="Arial" w:cs="Arial" w:eastAsia="Arial" w:hAnsi="Arial"/>
          <w:color w:val="2C3E50"/>
          <w:sz w:val="21"/>
          <w:szCs w:val="21"/>
        </w:rPr>
        <w:t xml:space="preserve">ClinEdOps is a unified, web-based SaaS platform that consolidates all clinical education operational workflows into a single, role-aware system. Built on React (frontend) and FastAPI (backend), containerised with Docker, it replaces fragmented manual processes with nine integrated modules that cover the full spectrum of NUH’s clinical education operations.</w:t>
      </w:r>
    </w:p>
    <w:p>
      <w:pPr>
        <w:spacing w:after="80" w:before="80" w:line="276"/>
        <w:jc w:val="both"/>
      </w:pPr>
      <w:r>
        <w:rPr>
          <w:rFonts w:ascii="Arial" w:cs="Arial" w:eastAsia="Arial" w:hAnsi="Arial"/>
          <w:color w:val="2C3E50"/>
          <w:sz w:val="21"/>
          <w:szCs w:val="21"/>
        </w:rPr>
        <w:t xml:space="preserve">The platform serves five distinct user types — Programme Administrators, Medical Tutors/Clinicians, Department Heads, Students, and Super Administrators — each with tailored dashboards, workflows, and permissions that match their operational reality.</w:t>
      </w:r>
    </w:p>
    <w:p>
      <w:pPr>
        <w:spacing w:after="100" w:before="280"/>
      </w:pPr>
      <w:r>
        <w:rPr>
          <w:rFonts w:ascii="Arial" w:cs="Arial" w:eastAsia="Arial" w:hAnsi="Arial"/>
          <w:b/>
          <w:bCs/>
          <w:color w:val="154360"/>
          <w:sz w:val="26"/>
          <w:szCs w:val="26"/>
        </w:rPr>
        <w:t xml:space="preserve">2.2 Core Modules</w:t>
      </w:r>
    </w:p>
    <w:p>
      <w:pPr>
        <w:spacing w:after="80" w:before="200"/>
      </w:pPr>
      <w:r>
        <w:rPr>
          <w:rFonts w:ascii="Arial" w:cs="Arial" w:eastAsia="Arial" w:hAnsi="Arial"/>
          <w:b/>
          <w:bCs/>
          <w:color w:val="2E86C1"/>
          <w:sz w:val="22"/>
          <w:szCs w:val="22"/>
        </w:rPr>
        <w:t xml:space="preserve">Module 1 — Student &amp; Tutor Lifecycle Management</w:t>
      </w:r>
    </w:p>
    <w:p>
      <w:pPr>
        <w:spacing w:after="80" w:before="80" w:line="276"/>
        <w:jc w:val="both"/>
      </w:pPr>
      <w:r>
        <w:rPr>
          <w:rFonts w:ascii="Arial" w:cs="Arial" w:eastAsia="Arial" w:hAnsi="Arial"/>
          <w:color w:val="2C3E50"/>
          <w:sz w:val="21"/>
          <w:szCs w:val="21"/>
        </w:rPr>
        <w:t xml:space="preserve">A centralised record system for all students and tutors across all four disciplines. Student profiles capture name, institution, discipline, cohort, academic cycle, and current posting status. Tutor profiles include department, specialty, billable rate, and active/inactive status. The system supports assigning students to departments, postings, tutors, and academic cycles with clear status tracking from Pending Onboarding through Active Posting to Completed and Offboarded. Batch upload from Excel (.xlsx) and FormSG exports (CSV/JSON) is supported, with built-in duplicate detection, error highlighting, and anomaly flagging on imports.</w:t>
      </w:r>
    </w:p>
    <w:p>
      <w:pPr>
        <w:spacing w:after="80" w:before="200"/>
      </w:pPr>
      <w:r>
        <w:rPr>
          <w:rFonts w:ascii="Arial" w:cs="Arial" w:eastAsia="Arial" w:hAnsi="Arial"/>
          <w:b/>
          <w:bCs/>
          <w:color w:val="2E86C1"/>
          <w:sz w:val="22"/>
          <w:szCs w:val="22"/>
        </w:rPr>
        <w:t xml:space="preserve">Module 2 — Teaching Hours Tracking</w:t>
      </w:r>
    </w:p>
    <w:p>
      <w:pPr>
        <w:spacing w:after="80" w:before="80" w:line="276"/>
        <w:jc w:val="both"/>
      </w:pPr>
      <w:r>
        <w:rPr>
          <w:rFonts w:ascii="Arial" w:cs="Arial" w:eastAsia="Arial" w:hAnsi="Arial"/>
          <w:color w:val="2C3E50"/>
          <w:sz w:val="21"/>
          <w:szCs w:val="21"/>
        </w:rPr>
        <w:t xml:space="preserve">A standardised mechanism for tutors to log, submit, and get approval for teaching sessions. Tutors can log both scheduled sessions and ad hoc consultations with date, time, duration, type, linked students, and department. A multi-level approval workflow — Tutor submits, Supervisor reviews, Admin approves — ensures data integrity. Automated anomaly detection flags duplicate sessions, unusually high hours, and sessions outside posting periods. Approved hours are mapped to tutor billable rates for compensation processing.</w:t>
      </w:r>
    </w:p>
    <w:p>
      <w:pPr>
        <w:spacing w:after="80" w:before="200"/>
      </w:pPr>
      <w:r>
        <w:rPr>
          <w:rFonts w:ascii="Arial" w:cs="Arial" w:eastAsia="Arial" w:hAnsi="Arial"/>
          <w:b/>
          <w:bCs/>
          <w:color w:val="2E86C1"/>
          <w:sz w:val="22"/>
          <w:szCs w:val="22"/>
        </w:rPr>
        <w:t xml:space="preserve">Module 3 — Configurable Survey &amp; Feedback Engine</w:t>
      </w:r>
    </w:p>
    <w:p>
      <w:pPr>
        <w:spacing w:after="80" w:before="80" w:line="276"/>
        <w:jc w:val="both"/>
      </w:pPr>
      <w:r>
        <w:rPr>
          <w:rFonts w:ascii="Arial" w:cs="Arial" w:eastAsia="Arial" w:hAnsi="Arial"/>
          <w:color w:val="2C3E50"/>
          <w:sz w:val="21"/>
          <w:szCs w:val="21"/>
        </w:rPr>
        <w:t xml:space="preserve">A flexible survey system that eliminates survey fatigue while ensuring quality data collection. Survey templates are configurable by discipline, posting type, semester, or academic cycle, with a 5-point Likert scoring matrix as standard. Compulsory text fields are auto-triggered when scores fall below a configurable threshold. The system supports batched/consolidated surveys — grouping multiple tutor interactions into a single daily or weekly survey — directly addressing the survey fatigue problem. Automated reminders drive completion for incomplete submissions.</w:t>
      </w:r>
    </w:p>
    <w:p>
      <w:pPr>
        <w:spacing w:after="80" w:before="200"/>
      </w:pPr>
      <w:r>
        <w:rPr>
          <w:rFonts w:ascii="Arial" w:cs="Arial" w:eastAsia="Arial" w:hAnsi="Arial"/>
          <w:b/>
          <w:bCs/>
          <w:color w:val="2E86C1"/>
          <w:sz w:val="22"/>
          <w:szCs w:val="22"/>
        </w:rPr>
        <w:t xml:space="preserve">Module 4 — Reporting &amp; Analytics</w:t>
      </w:r>
    </w:p>
    <w:p>
      <w:pPr>
        <w:spacing w:after="80" w:before="80" w:line="276"/>
        <w:jc w:val="both"/>
      </w:pPr>
      <w:r>
        <w:rPr>
          <w:rFonts w:ascii="Arial" w:cs="Arial" w:eastAsia="Arial" w:hAnsi="Arial"/>
          <w:color w:val="2C3E50"/>
          <w:sz w:val="21"/>
          <w:szCs w:val="21"/>
        </w:rPr>
        <w:t xml:space="preserve">A comprehensive reporting engine with real-time dashboards and one-click export. Role-specific dashboards display teaching hours by tutor/department/discipline, survey completion rates, feedback quality indicators, and posting status overview. Pre-built report templates cover Faculty Appraisal, Tutor Billing, Teaching Award Nominations, Programme Quality Review, and Accreditation Reports. Report generation targets under one minute end-to-end — an 80% reduction from the current five-minute manual process. Export formats include PDF, Excel (.xlsx), and CSV.</w:t>
      </w:r>
    </w:p>
    <w:p>
      <w:pPr>
        <w:spacing w:after="80" w:before="200"/>
      </w:pPr>
      <w:r>
        <w:rPr>
          <w:rFonts w:ascii="Arial" w:cs="Arial" w:eastAsia="Arial" w:hAnsi="Arial"/>
          <w:b/>
          <w:bCs/>
          <w:color w:val="2E86C1"/>
          <w:sz w:val="22"/>
          <w:szCs w:val="22"/>
        </w:rPr>
        <w:t xml:space="preserve">Module 5 — Notifications &amp; Alerts</w:t>
      </w:r>
    </w:p>
    <w:p>
      <w:pPr>
        <w:spacing w:after="80" w:before="80" w:line="276"/>
        <w:jc w:val="both"/>
      </w:pPr>
      <w:r>
        <w:rPr>
          <w:rFonts w:ascii="Arial" w:cs="Arial" w:eastAsia="Arial" w:hAnsi="Arial"/>
          <w:color w:val="2C3E50"/>
          <w:sz w:val="21"/>
          <w:szCs w:val="21"/>
        </w:rPr>
        <w:t xml:space="preserve">An in-app notification centre with read/unread status, supplemented by configurable email notifications for pending feedback, approval requests, low scores flagged, and upcoming deadlines. Escalation alerts automatically notify supervisors when feedback is overdue past a configurable threshold.</w:t>
      </w:r>
    </w:p>
    <w:p>
      <w:pPr>
        <w:spacing w:after="80" w:before="200"/>
      </w:pPr>
      <w:r>
        <w:rPr>
          <w:rFonts w:ascii="Arial" w:cs="Arial" w:eastAsia="Arial" w:hAnsi="Arial"/>
          <w:b/>
          <w:bCs/>
          <w:color w:val="2E86C1"/>
          <w:sz w:val="22"/>
          <w:szCs w:val="22"/>
        </w:rPr>
        <w:t xml:space="preserve">Module 6 — Role-Based Access Control (RBAC)</w:t>
      </w:r>
    </w:p>
    <w:p>
      <w:pPr>
        <w:spacing w:after="80" w:before="80" w:line="276"/>
        <w:jc w:val="both"/>
      </w:pPr>
      <w:r>
        <w:rPr>
          <w:rFonts w:ascii="Arial" w:cs="Arial" w:eastAsia="Arial" w:hAnsi="Arial"/>
          <w:color w:val="2C3E50"/>
          <w:sz w:val="21"/>
          <w:szCs w:val="21"/>
        </w:rPr>
        <w:t xml:space="preserve">Robust governance with five defined roles — Super Admin, Programme Admin, Supervisor, Tutor/Clinician, and Student — each with customisable permission sets. Discipline-scoped access ensures programme admins see only their assigned discipline by default, while cross-discipline views are available for department heads and above.</w:t>
      </w:r>
    </w:p>
    <w:p>
      <w:pPr>
        <w:spacing w:after="80" w:before="200"/>
      </w:pPr>
      <w:r>
        <w:rPr>
          <w:rFonts w:ascii="Arial" w:cs="Arial" w:eastAsia="Arial" w:hAnsi="Arial"/>
          <w:b/>
          <w:bCs/>
          <w:color w:val="2E86C1"/>
          <w:sz w:val="22"/>
          <w:szCs w:val="22"/>
        </w:rPr>
        <w:t xml:space="preserve">Module 7 — Audit Trail</w:t>
      </w:r>
    </w:p>
    <w:p>
      <w:pPr>
        <w:spacing w:after="80" w:before="80" w:line="276"/>
        <w:jc w:val="both"/>
      </w:pPr>
      <w:r>
        <w:rPr>
          <w:rFonts w:ascii="Arial" w:cs="Arial" w:eastAsia="Arial" w:hAnsi="Arial"/>
          <w:color w:val="2C3E50"/>
          <w:sz w:val="21"/>
          <w:szCs w:val="21"/>
        </w:rPr>
        <w:t xml:space="preserve">An immutable audit log of all create, update, delete, and approve actions. Each entry captures the actor (user ID + role), action type, timestamp, affected record, and before/after values. Exportable for compliance, PDPA audit, or accreditation review. Retention policy configurable with a default of seven years.</w:t>
      </w:r>
    </w:p>
    <w:p>
      <w:pPr>
        <w:spacing w:after="80" w:before="200"/>
      </w:pPr>
      <w:r>
        <w:rPr>
          <w:rFonts w:ascii="Arial" w:cs="Arial" w:eastAsia="Arial" w:hAnsi="Arial"/>
          <w:b/>
          <w:bCs/>
          <w:color w:val="2E86C1"/>
          <w:sz w:val="22"/>
          <w:szCs w:val="22"/>
        </w:rPr>
        <w:t xml:space="preserve">Module 8 — Batch Import / Data Management</w:t>
      </w:r>
    </w:p>
    <w:p>
      <w:pPr>
        <w:spacing w:after="80" w:before="80" w:line="276"/>
        <w:jc w:val="both"/>
      </w:pPr>
      <w:r>
        <w:rPr>
          <w:rFonts w:ascii="Arial" w:cs="Arial" w:eastAsia="Arial" w:hAnsi="Arial"/>
          <w:color w:val="2C3E50"/>
          <w:sz w:val="21"/>
          <w:szCs w:val="21"/>
        </w:rPr>
        <w:t xml:space="preserve">Excel (.xlsx) and CSV import for student and tutor data at the start of each academic cycle. A field mapping interface with pre-import validation checks for duplicates, missing required fields, and format errors. Import preview with row-level error highlighting. FormSG webhook/export ingestion supports real-time form submission data flow.</w:t>
      </w:r>
    </w:p>
    <w:p>
      <w:pPr>
        <w:spacing w:after="80" w:before="200"/>
      </w:pPr>
      <w:r>
        <w:rPr>
          <w:rFonts w:ascii="Arial" w:cs="Arial" w:eastAsia="Arial" w:hAnsi="Arial"/>
          <w:b/>
          <w:bCs/>
          <w:color w:val="2E86C1"/>
          <w:sz w:val="22"/>
          <w:szCs w:val="22"/>
        </w:rPr>
        <w:t xml:space="preserve">Module 9 — System Integrations</w:t>
      </w:r>
    </w:p>
    <w:p>
      <w:pPr>
        <w:spacing w:after="80" w:before="80" w:line="276"/>
        <w:jc w:val="both"/>
      </w:pPr>
      <w:r>
        <w:rPr>
          <w:rFonts w:ascii="Arial" w:cs="Arial" w:eastAsia="Arial" w:hAnsi="Arial"/>
          <w:color w:val="2C3E50"/>
          <w:sz w:val="21"/>
          <w:szCs w:val="21"/>
        </w:rPr>
        <w:t xml:space="preserve">Architecture designed for integration with existing hospital systems including NUHS Jobplan Portal, NUS BLUE System, Teaching Activities System (TAS), and FormSG. AWS SES provides outbound email notifications and report delivery, while AWS S3 handles file storage for exports, attachments, and audit logs.</w:t>
      </w:r>
    </w:p>
    <w:p>
      <w:r>
        <w:br w:type="page"/>
      </w:r>
    </w:p>
    <w:p>
      <w:pPr>
        <w:spacing w:after="100" w:before="280"/>
      </w:pPr>
      <w:r>
        <w:rPr>
          <w:rFonts w:ascii="Arial" w:cs="Arial" w:eastAsia="Arial" w:hAnsi="Arial"/>
          <w:b/>
          <w:bCs/>
          <w:color w:val="154360"/>
          <w:sz w:val="26"/>
          <w:szCs w:val="26"/>
        </w:rPr>
        <w:t xml:space="preserve">2.3 How ClinEdOps Transforms Each User’s Experience</w:t>
      </w:r>
    </w:p>
    <w:p>
      <w:pPr>
        <w:spacing w:after="80" w:before="80" w:line="276"/>
        <w:jc w:val="both"/>
      </w:pPr>
      <w:r>
        <w:rPr>
          <w:rFonts w:ascii="Arial" w:cs="Arial" w:eastAsia="Arial" w:hAnsi="Arial"/>
          <w:b/>
          <w:bCs/>
          <w:i w:val="false"/>
          <w:iCs w:val="false"/>
          <w:color w:val="2C3E50"/>
          <w:sz w:val="21"/>
          <w:szCs w:val="21"/>
        </w:rPr>
        <w:t xml:space="preserve">For Sarah (Programme Administrator): </w:t>
      </w:r>
      <w:r>
        <w:rPr>
          <w:rFonts w:ascii="Arial" w:cs="Arial" w:eastAsia="Arial" w:hAnsi="Arial"/>
          <w:b w:val="false"/>
          <w:bCs w:val="false"/>
          <w:i w:val="false"/>
          <w:iCs w:val="false"/>
          <w:color w:val="2C3E50"/>
          <w:sz w:val="21"/>
          <w:szCs w:val="21"/>
        </w:rPr>
        <w:t xml:space="preserve">Instead of toggling between Excel spreadsheets, FormSG downloads, and emails, Sarah opens a single dashboard showing all student postings, tutor assignments, teaching hours, and feedback submissions. She generates customised reports for appraisals, billing, and awards with one click — reducing days of manual consolidation to minutes.</w:t>
      </w:r>
    </w:p>
    <w:p>
      <w:pPr>
        <w:spacing w:after="80" w:before="80" w:line="276"/>
        <w:jc w:val="both"/>
      </w:pPr>
      <w:r>
        <w:rPr>
          <w:rFonts w:ascii="Arial" w:cs="Arial" w:eastAsia="Arial" w:hAnsi="Arial"/>
          <w:b/>
          <w:bCs/>
          <w:i w:val="false"/>
          <w:iCs w:val="false"/>
          <w:color w:val="2C3E50"/>
          <w:sz w:val="21"/>
          <w:szCs w:val="21"/>
        </w:rPr>
        <w:t xml:space="preserve">For Dr Aisha (Medical Tutor): </w:t>
      </w:r>
      <w:r>
        <w:rPr>
          <w:rFonts w:ascii="Arial" w:cs="Arial" w:eastAsia="Arial" w:hAnsi="Arial"/>
          <w:b w:val="false"/>
          <w:bCs w:val="false"/>
          <w:i w:val="false"/>
          <w:iCs w:val="false"/>
          <w:color w:val="2C3E50"/>
          <w:sz w:val="21"/>
          <w:szCs w:val="21"/>
        </w:rPr>
        <w:t xml:space="preserve">Through a clean, user-friendly interface, Dr Aisha logs both scheduled and ad hoc sessions within minutes. She sees her accumulated teaching hours in real time and can track approval status at a glance. Feedback summaries are automatically compiled into a dashboard view.</w:t>
      </w:r>
    </w:p>
    <w:p>
      <w:pPr>
        <w:spacing w:after="80" w:before="80" w:line="276"/>
        <w:jc w:val="both"/>
      </w:pPr>
      <w:r>
        <w:rPr>
          <w:rFonts w:ascii="Arial" w:cs="Arial" w:eastAsia="Arial" w:hAnsi="Arial"/>
          <w:b/>
          <w:bCs/>
          <w:i w:val="false"/>
          <w:iCs w:val="false"/>
          <w:color w:val="2C3E50"/>
          <w:sz w:val="21"/>
          <w:szCs w:val="21"/>
        </w:rPr>
        <w:t xml:space="preserve">For Bryan (Department Head): </w:t>
      </w:r>
      <w:r>
        <w:rPr>
          <w:rFonts w:ascii="Arial" w:cs="Arial" w:eastAsia="Arial" w:hAnsi="Arial"/>
          <w:b w:val="false"/>
          <w:bCs w:val="false"/>
          <w:i w:val="false"/>
          <w:iCs w:val="false"/>
          <w:color w:val="2C3E50"/>
          <w:sz w:val="21"/>
          <w:szCs w:val="21"/>
        </w:rPr>
        <w:t xml:space="preserve">The platform gives Bryan cross-disciplinary dashboards and standardised reporting. He gains real-time visibility into teaching hours, feedback completion rates, and quality indicators across all four disciplines — based on current data, not manually compiled reports.</w:t>
      </w:r>
    </w:p>
    <w:p>
      <w:pPr>
        <w:spacing w:after="80" w:before="80" w:line="276"/>
        <w:jc w:val="both"/>
      </w:pPr>
      <w:r>
        <w:rPr>
          <w:rFonts w:ascii="Arial" w:cs="Arial" w:eastAsia="Arial" w:hAnsi="Arial"/>
          <w:b/>
          <w:bCs/>
          <w:i w:val="false"/>
          <w:iCs w:val="false"/>
          <w:color w:val="2C3E50"/>
          <w:sz w:val="21"/>
          <w:szCs w:val="21"/>
        </w:rPr>
        <w:t xml:space="preserve">For Students: </w:t>
      </w:r>
      <w:r>
        <w:rPr>
          <w:rFonts w:ascii="Arial" w:cs="Arial" w:eastAsia="Arial" w:hAnsi="Arial"/>
          <w:b w:val="false"/>
          <w:bCs w:val="false"/>
          <w:i w:val="false"/>
          <w:iCs w:val="false"/>
          <w:color w:val="2C3E50"/>
          <w:sz w:val="21"/>
          <w:szCs w:val="21"/>
        </w:rPr>
        <w:t xml:space="preserve">Students see a personal dashboard with their active posting, assigned tutors, and pending surveys. Batched surveys mean they receive one consolidated feedback request per day or per week — not one per tutor interaction — dramatically reducing survey fatigue.</w:t>
      </w:r>
    </w:p>
    <w:p>
      <w:r>
        <w:br w:type="page"/>
      </w:r>
    </w:p>
    <w:p>
      <w:pPr>
        <w:pBdr>
          <w:bottom w:val="single" w:color="2E86C1" w:sz="6" w:space="8"/>
        </w:pBdr>
        <w:spacing w:after="60" w:before="360"/>
      </w:pPr>
      <w:r>
        <w:rPr>
          <w:rFonts w:ascii="Arial" w:cs="Arial" w:eastAsia="Arial" w:hAnsi="Arial"/>
          <w:b/>
          <w:bCs/>
          <w:color w:val="1B4F72"/>
          <w:sz w:val="32"/>
          <w:szCs w:val="32"/>
        </w:rPr>
        <w:t xml:space="preserve">3. Technical Architecture &amp; Innovation</w:t>
      </w:r>
    </w:p>
    <w:p>
      <w:pPr>
        <w:spacing w:after="100" w:before="280"/>
      </w:pPr>
      <w:r>
        <w:rPr>
          <w:rFonts w:ascii="Arial" w:cs="Arial" w:eastAsia="Arial" w:hAnsi="Arial"/>
          <w:b/>
          <w:bCs/>
          <w:color w:val="154360"/>
          <w:sz w:val="26"/>
          <w:szCs w:val="26"/>
        </w:rPr>
        <w:t xml:space="preserve">3.1 Architecture Overview</w:t>
      </w:r>
    </w:p>
    <w:p>
      <w:pPr>
        <w:spacing w:after="80" w:before="80" w:line="276"/>
        <w:jc w:val="both"/>
      </w:pPr>
      <w:r>
        <w:rPr>
          <w:rFonts w:ascii="Arial" w:cs="Arial" w:eastAsia="Arial" w:hAnsi="Arial"/>
          <w:b/>
          <w:bCs/>
          <w:i w:val="false"/>
          <w:iCs w:val="false"/>
          <w:color w:val="2C3E50"/>
          <w:sz w:val="21"/>
          <w:szCs w:val="21"/>
        </w:rPr>
        <w:t xml:space="preserve">Frontend: </w:t>
      </w:r>
      <w:r>
        <w:rPr>
          <w:rFonts w:ascii="Arial" w:cs="Arial" w:eastAsia="Arial" w:hAnsi="Arial"/>
          <w:b w:val="false"/>
          <w:bCs w:val="false"/>
          <w:i w:val="false"/>
          <w:iCs w:val="false"/>
          <w:color w:val="2C3E50"/>
          <w:sz w:val="21"/>
          <w:szCs w:val="21"/>
        </w:rPr>
        <w:t xml:space="preserve">React 18 with TypeScript, Ant Design / Shadcn/UI with Tailwind CSS, React Query (TanStack Query) + Zustand for state management, React Router v6 with protected routes and role guards, Recharts / Apache ECharts for dashboards.</w:t>
      </w:r>
    </w:p>
    <w:p>
      <w:pPr>
        <w:spacing w:after="80" w:before="80" w:line="276"/>
        <w:jc w:val="both"/>
      </w:pPr>
      <w:r>
        <w:rPr>
          <w:rFonts w:ascii="Arial" w:cs="Arial" w:eastAsia="Arial" w:hAnsi="Arial"/>
          <w:b/>
          <w:bCs/>
          <w:i w:val="false"/>
          <w:iCs w:val="false"/>
          <w:color w:val="2C3E50"/>
          <w:sz w:val="21"/>
          <w:szCs w:val="21"/>
        </w:rPr>
        <w:t xml:space="preserve">Backend: </w:t>
      </w:r>
      <w:r>
        <w:rPr>
          <w:rFonts w:ascii="Arial" w:cs="Arial" w:eastAsia="Arial" w:hAnsi="Arial"/>
          <w:b w:val="false"/>
          <w:bCs w:val="false"/>
          <w:i w:val="false"/>
          <w:iCs w:val="false"/>
          <w:color w:val="2C3E50"/>
          <w:sz w:val="21"/>
          <w:szCs w:val="21"/>
        </w:rPr>
        <w:t xml:space="preserve">FastAPI (Python 3.12) with async support, SQLAlchemy 2.0 + Alembic for PostgreSQL 16, Celery + Redis for background jobs including report generation, email dispatch, and scheduled reminders.</w:t>
      </w:r>
    </w:p>
    <w:p>
      <w:pPr>
        <w:spacing w:after="80" w:before="80" w:line="276"/>
        <w:jc w:val="both"/>
      </w:pPr>
      <w:r>
        <w:rPr>
          <w:rFonts w:ascii="Arial" w:cs="Arial" w:eastAsia="Arial" w:hAnsi="Arial"/>
          <w:b/>
          <w:bCs/>
          <w:i w:val="false"/>
          <w:iCs w:val="false"/>
          <w:color w:val="2C3E50"/>
          <w:sz w:val="21"/>
          <w:szCs w:val="21"/>
        </w:rPr>
        <w:t xml:space="preserve">Infrastructure: </w:t>
      </w:r>
      <w:r>
        <w:rPr>
          <w:rFonts w:ascii="Arial" w:cs="Arial" w:eastAsia="Arial" w:hAnsi="Arial"/>
          <w:b w:val="false"/>
          <w:bCs w:val="false"/>
          <w:i w:val="false"/>
          <w:iCs w:val="false"/>
          <w:color w:val="2C3E50"/>
          <w:sz w:val="21"/>
          <w:szCs w:val="21"/>
        </w:rPr>
        <w:t xml:space="preserve">All services containerised via Docker with Docker Compose for development and prototype demonstration. Production architecture fully designed for AWS Singapore (ap-southeast-1): ECS Fargate, RDS PostgreSQL (Multi-AZ), ElastiCache Redis, CloudFront CDN, ALB with WAF, S3 for file storage. AWS deployment is scoped as a defined phase in our timeline.</w:t>
      </w:r>
    </w:p>
    <w:p>
      <w:pPr>
        <w:spacing w:after="100" w:before="280"/>
      </w:pPr>
      <w:r>
        <w:rPr>
          <w:rFonts w:ascii="Arial" w:cs="Arial" w:eastAsia="Arial" w:hAnsi="Arial"/>
          <w:b/>
          <w:bCs/>
          <w:color w:val="154360"/>
          <w:sz w:val="26"/>
          <w:szCs w:val="26"/>
        </w:rPr>
        <w:t xml:space="preserve">3.2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6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React + TypeScript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Component-based SPA with strong ecosystem; type safety for maintainability at scale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FastAPI (Python)</w:t>
            </w:r>
          </w:p>
        </w:tc>
        <w:tc>
          <w:tcPr>
            <w:tcW w:type="dxa" w:w="6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Async high-performance framework; auto-generated OpenAPI docs; large talent pool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PostgreSQL 16</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Relational integrity for complex relationships; JSONB for flexible survey responses; read replicas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JWT RS256 asymmetric auth</w:t>
            </w:r>
          </w:p>
        </w:tc>
        <w:tc>
          <w:tcPr>
            <w:tcW w:type="dxa" w:w="6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Secure stateless authentication with refresh token rotation; 15-min access tokens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Celery + Redis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Decouples report generation and email dispatch from API response times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Docker + ECS Fargate</w:t>
            </w:r>
          </w:p>
        </w:tc>
        <w:tc>
          <w:tcPr>
            <w:tcW w:type="dxa" w:w="6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Reproducible builds; serverless auto-scaling; eliminates server management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AWS Singapore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Mandatory for PDPA compliance and data residency; low-latency for NUH users</w:t>
            </w:r>
          </w:p>
        </w:tc>
      </w:tr>
    </w:tbl>
    <w:p>
      <w:pPr>
        <w:spacing w:after="100" w:before="280"/>
      </w:pPr>
      <w:r>
        <w:rPr>
          <w:rFonts w:ascii="Arial" w:cs="Arial" w:eastAsia="Arial" w:hAnsi="Arial"/>
          <w:b/>
          <w:bCs/>
          <w:color w:val="154360"/>
          <w:sz w:val="26"/>
          <w:szCs w:val="26"/>
        </w:rPr>
        <w:t xml:space="preserve">3.3 Innovation Highlights</w:t>
      </w:r>
    </w:p>
    <w:p>
      <w:pPr>
        <w:spacing w:after="80" w:before="80" w:line="276"/>
        <w:jc w:val="both"/>
      </w:pPr>
      <w:r>
        <w:rPr>
          <w:rFonts w:ascii="Arial" w:cs="Arial" w:eastAsia="Arial" w:hAnsi="Arial"/>
          <w:b/>
          <w:bCs/>
          <w:i w:val="false"/>
          <w:iCs w:val="false"/>
          <w:color w:val="2C3E50"/>
          <w:sz w:val="21"/>
          <w:szCs w:val="21"/>
        </w:rPr>
        <w:t xml:space="preserve">Batched Survey Engine — Eliminating Survey Fatigue by Design. </w:t>
      </w:r>
      <w:r>
        <w:rPr>
          <w:rFonts w:ascii="Arial" w:cs="Arial" w:eastAsia="Arial" w:hAnsi="Arial"/>
          <w:b w:val="false"/>
          <w:bCs w:val="false"/>
          <w:i w:val="false"/>
          <w:iCs w:val="false"/>
          <w:color w:val="2C3E50"/>
          <w:sz w:val="21"/>
          <w:szCs w:val="21"/>
        </w:rPr>
        <w:t xml:space="preserve">Unlike conventional feedback systems that send a survey per tutor interaction, ClinEdOps groups multiple interactions into consolidated daily or weekly surveys. The configurable cadence system supports per-posting, midpoint, and end-of-posting evaluations.</w:t>
      </w:r>
    </w:p>
    <w:p>
      <w:pPr>
        <w:spacing w:after="80" w:before="80" w:line="276"/>
        <w:jc w:val="both"/>
      </w:pPr>
      <w:r>
        <w:rPr>
          <w:rFonts w:ascii="Arial" w:cs="Arial" w:eastAsia="Arial" w:hAnsi="Arial"/>
          <w:b/>
          <w:bCs/>
          <w:i w:val="false"/>
          <w:iCs w:val="false"/>
          <w:color w:val="2C3E50"/>
          <w:sz w:val="21"/>
          <w:szCs w:val="21"/>
        </w:rPr>
        <w:t xml:space="preserve">Automated Anomaly Detection on Teaching Hours. </w:t>
      </w:r>
      <w:r>
        <w:rPr>
          <w:rFonts w:ascii="Arial" w:cs="Arial" w:eastAsia="Arial" w:hAnsi="Arial"/>
          <w:b w:val="false"/>
          <w:bCs w:val="false"/>
          <w:i w:val="false"/>
          <w:iCs w:val="false"/>
          <w:color w:val="2C3E50"/>
          <w:sz w:val="21"/>
          <w:szCs w:val="21"/>
        </w:rPr>
        <w:t xml:space="preserve">The system automatically flags duplicate sessions, unusually high reported hours, and sessions logged outside posting periods — catching errors before they propagate into billing and appraisal data.</w:t>
      </w:r>
    </w:p>
    <w:p>
      <w:pPr>
        <w:spacing w:after="80" w:before="80" w:line="276"/>
        <w:jc w:val="both"/>
      </w:pPr>
      <w:r>
        <w:rPr>
          <w:rFonts w:ascii="Arial" w:cs="Arial" w:eastAsia="Arial" w:hAnsi="Arial"/>
          <w:b/>
          <w:bCs/>
          <w:i w:val="false"/>
          <w:iCs w:val="false"/>
          <w:color w:val="2C3E50"/>
          <w:sz w:val="21"/>
          <w:szCs w:val="21"/>
        </w:rPr>
        <w:t xml:space="preserve">Configurable Without Heavy Custom Coding. </w:t>
      </w:r>
      <w:r>
        <w:rPr>
          <w:rFonts w:ascii="Arial" w:cs="Arial" w:eastAsia="Arial" w:hAnsi="Arial"/>
          <w:b w:val="false"/>
          <w:bCs w:val="false"/>
          <w:i w:val="false"/>
          <w:iCs w:val="false"/>
          <w:color w:val="2C3E50"/>
          <w:sz w:val="21"/>
          <w:szCs w:val="21"/>
        </w:rPr>
        <w:t xml:space="preserve">Survey templates, report definitions, RBAC permissions, notification rules, and approval hierarchies are all configurable through the admin interface. Administrators adapt workflows without developer intervention.</w:t>
      </w:r>
    </w:p>
    <w:p>
      <w:pPr>
        <w:spacing w:after="80" w:before="80" w:line="276"/>
        <w:jc w:val="both"/>
      </w:pPr>
      <w:r>
        <w:rPr>
          <w:rFonts w:ascii="Arial" w:cs="Arial" w:eastAsia="Arial" w:hAnsi="Arial"/>
          <w:b/>
          <w:bCs/>
          <w:i w:val="false"/>
          <w:iCs w:val="false"/>
          <w:color w:val="2C3E50"/>
          <w:sz w:val="21"/>
          <w:szCs w:val="21"/>
        </w:rPr>
        <w:t xml:space="preserve">One-Click Report Generation Pipeline. </w:t>
      </w:r>
      <w:r>
        <w:rPr>
          <w:rFonts w:ascii="Arial" w:cs="Arial" w:eastAsia="Arial" w:hAnsi="Arial"/>
          <w:b w:val="false"/>
          <w:bCs w:val="false"/>
          <w:i w:val="false"/>
          <w:iCs w:val="false"/>
          <w:color w:val="2C3E50"/>
          <w:sz w:val="21"/>
          <w:szCs w:val="21"/>
        </w:rPr>
        <w:t xml:space="preserve">Pre-built report templates generated asynchronously via Celery workers. Target: under one minute end-to-end — an 80% reduction from the current five-minute manual process.</w:t>
      </w:r>
    </w:p>
    <w:p>
      <w:pPr>
        <w:spacing w:after="80" w:before="80" w:line="276"/>
        <w:jc w:val="both"/>
      </w:pPr>
      <w:r>
        <w:rPr>
          <w:rFonts w:ascii="Arial" w:cs="Arial" w:eastAsia="Arial" w:hAnsi="Arial"/>
          <w:b/>
          <w:bCs/>
          <w:i w:val="false"/>
          <w:iCs w:val="false"/>
          <w:color w:val="2C3E50"/>
          <w:sz w:val="21"/>
          <w:szCs w:val="21"/>
        </w:rPr>
        <w:t xml:space="preserve">Architecture-Ready for Multi-Institution Expansion. </w:t>
      </w:r>
      <w:r>
        <w:rPr>
          <w:rFonts w:ascii="Arial" w:cs="Arial" w:eastAsia="Arial" w:hAnsi="Arial"/>
          <w:b w:val="false"/>
          <w:bCs w:val="false"/>
          <w:i w:val="false"/>
          <w:iCs w:val="false"/>
          <w:color w:val="2C3E50"/>
          <w:sz w:val="21"/>
          <w:szCs w:val="21"/>
        </w:rPr>
        <w:t xml:space="preserve">Database schema, RBAC model, and API design support eventual expansion to other NUHS-affiliated institutions without fundamental re-architecture.</w:t>
      </w:r>
    </w:p>
    <w:p>
      <w:pPr>
        <w:spacing w:after="100" w:before="280"/>
      </w:pPr>
      <w:r>
        <w:rPr>
          <w:rFonts w:ascii="Arial" w:cs="Arial" w:eastAsia="Arial" w:hAnsi="Arial"/>
          <w:b/>
          <w:bCs/>
          <w:color w:val="154360"/>
          <w:sz w:val="26"/>
          <w:szCs w:val="26"/>
        </w:rPr>
        <w:t xml:space="preserve">3.4 Security &amp; Compliance</w:t>
      </w:r>
    </w:p>
    <w:p>
      <w:pPr>
        <w:spacing w:after="80" w:before="80" w:line="276"/>
        <w:jc w:val="both"/>
      </w:pPr>
      <w:r>
        <w:rPr>
          <w:rFonts w:ascii="Arial" w:cs="Arial" w:eastAsia="Arial" w:hAnsi="Arial"/>
          <w:color w:val="2C3E50"/>
          <w:sz w:val="21"/>
          <w:szCs w:val="21"/>
        </w:rPr>
        <w:t xml:space="preserve">Security and PDPA compliance are embedded throughout the platform design, not bolted on as an afterthought:</w:t>
      </w:r>
    </w:p>
    <w:p>
      <w:pPr>
        <w:pStyle w:val="ListParagraph"/>
        <w:numPr>
          <w:ilvl w:val="0"/>
          <w:numId w:val="2"/>
        </w:numPr>
        <w:spacing w:after="40" w:before="40" w:line="276"/>
      </w:pPr>
      <w:r>
        <w:rPr>
          <w:rFonts w:ascii="Arial" w:cs="Arial" w:eastAsia="Arial" w:hAnsi="Arial"/>
          <w:color w:val="2C3E50"/>
          <w:sz w:val="21"/>
          <w:szCs w:val="21"/>
        </w:rPr>
        <w:t xml:space="preserve"> JWT RS256 asymmetric signing with private key in AWS Secrets Manager</w:t>
      </w:r>
    </w:p>
    <w:p>
      <w:pPr>
        <w:pStyle w:val="ListParagraph"/>
        <w:numPr>
          <w:ilvl w:val="0"/>
          <w:numId w:val="2"/>
        </w:numPr>
        <w:spacing w:after="40" w:before="40" w:line="276"/>
      </w:pPr>
      <w:r>
        <w:rPr>
          <w:rFonts w:ascii="Arial" w:cs="Arial" w:eastAsia="Arial" w:hAnsi="Arial"/>
          <w:color w:val="2C3E50"/>
          <w:sz w:val="21"/>
          <w:szCs w:val="21"/>
        </w:rPr>
        <w:t xml:space="preserve"> Access tokens with 15-minute TTL stored in memory (not localStorage)</w:t>
      </w:r>
    </w:p>
    <w:p>
      <w:pPr>
        <w:pStyle w:val="ListParagraph"/>
        <w:numPr>
          <w:ilvl w:val="0"/>
          <w:numId w:val="2"/>
        </w:numPr>
        <w:spacing w:after="40" w:before="40" w:line="276"/>
      </w:pPr>
      <w:r>
        <w:rPr>
          <w:rFonts w:ascii="Arial" w:cs="Arial" w:eastAsia="Arial" w:hAnsi="Arial"/>
          <w:color w:val="2C3E50"/>
          <w:sz w:val="21"/>
          <w:szCs w:val="21"/>
        </w:rPr>
        <w:t xml:space="preserve"> Refresh tokens with 7-day TTL via HTTP-only secure cookies with server-side rotation</w:t>
      </w:r>
    </w:p>
    <w:p>
      <w:pPr>
        <w:pStyle w:val="ListParagraph"/>
        <w:numPr>
          <w:ilvl w:val="0"/>
          <w:numId w:val="2"/>
        </w:numPr>
        <w:spacing w:after="40" w:before="40" w:line="276"/>
      </w:pPr>
      <w:r>
        <w:rPr>
          <w:rFonts w:ascii="Arial" w:cs="Arial" w:eastAsia="Arial" w:hAnsi="Arial"/>
          <w:color w:val="2C3E50"/>
          <w:sz w:val="21"/>
          <w:szCs w:val="21"/>
        </w:rPr>
        <w:t xml:space="preserve"> RBAC enforced at the service layer — data queries filtered by actor’s role and discipline scope</w:t>
      </w:r>
    </w:p>
    <w:p>
      <w:pPr>
        <w:pStyle w:val="ListParagraph"/>
        <w:numPr>
          <w:ilvl w:val="0"/>
          <w:numId w:val="2"/>
        </w:numPr>
        <w:spacing w:after="40" w:before="40" w:line="276"/>
      </w:pPr>
      <w:r>
        <w:rPr>
          <w:rFonts w:ascii="Arial" w:cs="Arial" w:eastAsia="Arial" w:hAnsi="Arial"/>
          <w:color w:val="2C3E50"/>
          <w:sz w:val="21"/>
          <w:szCs w:val="21"/>
        </w:rPr>
        <w:t xml:space="preserve"> All database connections via SSL/TLS; RDS in private subnets (no public endpoint)</w:t>
      </w:r>
    </w:p>
    <w:p>
      <w:pPr>
        <w:pStyle w:val="ListParagraph"/>
        <w:numPr>
          <w:ilvl w:val="0"/>
          <w:numId w:val="2"/>
        </w:numPr>
        <w:spacing w:after="40" w:before="40" w:line="276"/>
      </w:pPr>
      <w:r>
        <w:rPr>
          <w:rFonts w:ascii="Arial" w:cs="Arial" w:eastAsia="Arial" w:hAnsi="Arial"/>
          <w:color w:val="2C3E50"/>
          <w:sz w:val="21"/>
          <w:szCs w:val="21"/>
        </w:rPr>
        <w:t xml:space="preserve"> Passwords hashed with bcrypt (cost factor 12)</w:t>
      </w:r>
    </w:p>
    <w:p>
      <w:pPr>
        <w:pStyle w:val="ListParagraph"/>
        <w:numPr>
          <w:ilvl w:val="0"/>
          <w:numId w:val="2"/>
        </w:numPr>
        <w:spacing w:after="40" w:before="40" w:line="276"/>
      </w:pPr>
      <w:r>
        <w:rPr>
          <w:rFonts w:ascii="Arial" w:cs="Arial" w:eastAsia="Arial" w:hAnsi="Arial"/>
          <w:color w:val="2C3E50"/>
          <w:sz w:val="21"/>
          <w:szCs w:val="21"/>
        </w:rPr>
        <w:t xml:space="preserve"> AWS WAF on ALB for rate limiting, SQL injection, and XSS protection</w:t>
      </w:r>
    </w:p>
    <w:p>
      <w:pPr>
        <w:pStyle w:val="ListParagraph"/>
        <w:numPr>
          <w:ilvl w:val="0"/>
          <w:numId w:val="2"/>
        </w:numPr>
        <w:spacing w:after="40" w:before="40" w:line="276"/>
      </w:pPr>
      <w:r>
        <w:rPr>
          <w:rFonts w:ascii="Arial" w:cs="Arial" w:eastAsia="Arial" w:hAnsi="Arial"/>
          <w:color w:val="2C3E50"/>
          <w:sz w:val="21"/>
          <w:szCs w:val="21"/>
        </w:rPr>
        <w:t xml:space="preserve"> All data stored exclusively in AWS Singapore (ap-southeast-1) for PDPA compliance</w:t>
      </w:r>
    </w:p>
    <w:p>
      <w:pPr>
        <w:pStyle w:val="ListParagraph"/>
        <w:numPr>
          <w:ilvl w:val="0"/>
          <w:numId w:val="2"/>
        </w:numPr>
        <w:spacing w:after="40" w:before="40" w:line="276"/>
      </w:pPr>
      <w:r>
        <w:rPr>
          <w:rFonts w:ascii="Arial" w:cs="Arial" w:eastAsia="Arial" w:hAnsi="Arial"/>
          <w:color w:val="2C3E50"/>
          <w:sz w:val="21"/>
          <w:szCs w:val="21"/>
        </w:rPr>
        <w:t xml:space="preserve"> Access logs retained for 7 years (configurable); data export on request; privacy notice at first login</w:t>
      </w:r>
    </w:p>
    <w:p>
      <w:pPr>
        <w:spacing w:after="100" w:before="280"/>
      </w:pPr>
      <w:r>
        <w:rPr>
          <w:rFonts w:ascii="Arial" w:cs="Arial" w:eastAsia="Arial" w:hAnsi="Arial"/>
          <w:b/>
          <w:bCs/>
          <w:color w:val="154360"/>
          <w:sz w:val="26"/>
          <w:szCs w:val="26"/>
        </w:rPr>
        <w:t xml:space="preserve">3.5 Performance &amp; Reliability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API response time (P95)</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&lt; 500ms standard queries; &lt; 2s report triggers</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Report generation</w:t>
            </w:r>
          </w:p>
        </w:tc>
        <w:tc>
          <w:tcPr>
            <w:tcW w:type="dxa" w:w="58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&lt; 60 seconds end-to-end for all pre-built types</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Concurrent users</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500+ without degradation</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Uptime SLA</w:t>
            </w:r>
          </w:p>
        </w:tc>
        <w:tc>
          <w:tcPr>
            <w:tcW w:type="dxa" w:w="58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99.5% during business hours (0800–2200 SGT)</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Backup</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Daily automated PostgreSQL backups; 30-day retention; PITR</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Horizontal scaling</w:t>
            </w:r>
          </w:p>
        </w:tc>
        <w:tc>
          <w:tcPr>
            <w:tcW w:type="dxa" w:w="58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ECS Fargate auto-scaling: scale out at 70% CPU</w:t>
            </w:r>
          </w:p>
        </w:tc>
      </w:tr>
    </w:tbl>
    <w:p>
      <w:r>
        <w:br w:type="page"/>
      </w:r>
    </w:p>
    <w:p>
      <w:pPr>
        <w:pBdr>
          <w:bottom w:val="single" w:color="2E86C1" w:sz="6" w:space="8"/>
        </w:pBdr>
        <w:spacing w:after="60" w:before="360"/>
      </w:pPr>
      <w:r>
        <w:rPr>
          <w:rFonts w:ascii="Arial" w:cs="Arial" w:eastAsia="Arial" w:hAnsi="Arial"/>
          <w:b/>
          <w:bCs/>
          <w:color w:val="1B4F72"/>
          <w:sz w:val="32"/>
          <w:szCs w:val="32"/>
        </w:rPr>
        <w:t xml:space="preserve">4. Addressing the Success Metrics</w:t>
      </w:r>
    </w:p>
    <w:p>
      <w:pPr>
        <w:spacing w:after="80" w:before="80" w:line="276"/>
        <w:jc w:val="both"/>
      </w:pPr>
      <w:r>
        <w:rPr>
          <w:rFonts w:ascii="Arial" w:cs="Arial" w:eastAsia="Arial" w:hAnsi="Arial"/>
          <w:color w:val="2C3E50"/>
          <w:sz w:val="21"/>
          <w:szCs w:val="21"/>
        </w:rPr>
        <w:t xml:space="preserve">The challenge brief defines four key metrics of success. Here is how ClinEdOps delivers on each:</w:t>
      </w:r>
    </w:p>
    <w:p>
      <w:pPr>
        <w:spacing w:after="100" w:before="280"/>
      </w:pPr>
      <w:r>
        <w:rPr>
          <w:rFonts w:ascii="Arial" w:cs="Arial" w:eastAsia="Arial" w:hAnsi="Arial"/>
          <w:b/>
          <w:bCs/>
          <w:color w:val="154360"/>
          <w:sz w:val="26"/>
          <w:szCs w:val="26"/>
        </w:rPr>
        <w:t xml:space="preserve">4.1 Improved Operation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BF5FB" w:val="clear"/>
            <w:tcMar>
              <w:top w:type="dxa" w:w="120"/>
              <w:left w:type="dxa" w:w="200"/>
              <w:bottom w:type="dxa" w:w="120"/>
              <w:right w:type="dxa" w:w="200"/>
            </w:tcMar>
          </w:tcPr>
          <w:p>
            <w:pPr>
              <w:spacing w:after="0" w:before="0" w:line="276"/>
            </w:pPr>
            <w:r>
              <w:rPr>
                <w:rFonts w:ascii="Arial" w:cs="Arial" w:eastAsia="Arial" w:hAnsi="Arial"/>
                <w:i/>
                <w:iCs/>
                <w:color w:val="154360"/>
                <w:sz w:val="21"/>
                <w:szCs w:val="21"/>
              </w:rPr>
              <w:t xml:space="preserve">Target: 50% Reduction in Manual Data Entry and Tracking Time</w:t>
            </w:r>
          </w:p>
        </w:tc>
      </w:tr>
    </w:tbl>
    <w:p>
      <w:pPr>
        <w:spacing w:after="0" w:before="60"/>
      </w:pPr>
    </w:p>
    <w:p>
      <w:pPr>
        <w:spacing w:after="80" w:before="80" w:line="276"/>
        <w:jc w:val="both"/>
      </w:pPr>
      <w:r>
        <w:rPr>
          <w:rFonts w:ascii="Arial" w:cs="Arial" w:eastAsia="Arial" w:hAnsi="Arial"/>
          <w:color w:val="2C3E50"/>
          <w:sz w:val="21"/>
          <w:szCs w:val="21"/>
        </w:rPr>
        <w:t xml:space="preserve">ClinEdOps eliminates the core manual workflows that consume administrative time today. Batch import replaces manual data entry for student and tutor onboarding. Teaching hours are logged directly by tutors through a streamlined interface. Feedback is collected, aggregated, and categorised automatically. The single-dashboard approach means administrators no longer toggle between Excel files, CSV downloads, and emails to reconcile data.</w:t>
      </w:r>
    </w:p>
    <w:p>
      <w:pPr>
        <w:spacing w:after="100" w:before="280"/>
      </w:pPr>
      <w:r>
        <w:rPr>
          <w:rFonts w:ascii="Arial" w:cs="Arial" w:eastAsia="Arial" w:hAnsi="Arial"/>
          <w:b/>
          <w:bCs/>
          <w:color w:val="154360"/>
          <w:sz w:val="26"/>
          <w:szCs w:val="26"/>
        </w:rPr>
        <w:t xml:space="preserve">4.2 Improved Data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BF5FB" w:val="clear"/>
            <w:tcMar>
              <w:top w:type="dxa" w:w="120"/>
              <w:left w:type="dxa" w:w="200"/>
              <w:bottom w:type="dxa" w:w="120"/>
              <w:right w:type="dxa" w:w="200"/>
            </w:tcMar>
          </w:tcPr>
          <w:p>
            <w:pPr>
              <w:spacing w:after="0" w:before="0" w:line="276"/>
            </w:pPr>
            <w:r>
              <w:rPr>
                <w:rFonts w:ascii="Arial" w:cs="Arial" w:eastAsia="Arial" w:hAnsi="Arial"/>
                <w:i/>
                <w:iCs/>
                <w:color w:val="154360"/>
                <w:sz w:val="21"/>
                <w:szCs w:val="21"/>
              </w:rPr>
              <w:t xml:space="preserve">Target: ≥ 90% Data Accuracy and Completeness</w:t>
            </w:r>
          </w:p>
        </w:tc>
      </w:tr>
    </w:tbl>
    <w:p>
      <w:pPr>
        <w:spacing w:after="0" w:before="60"/>
      </w:pPr>
    </w:p>
    <w:p>
      <w:pPr>
        <w:spacing w:after="80" w:before="80" w:line="276"/>
        <w:jc w:val="both"/>
      </w:pPr>
      <w:r>
        <w:rPr>
          <w:rFonts w:ascii="Arial" w:cs="Arial" w:eastAsia="Arial" w:hAnsi="Arial"/>
          <w:color w:val="2C3E50"/>
          <w:sz w:val="21"/>
          <w:szCs w:val="21"/>
        </w:rPr>
        <w:t xml:space="preserve">A centralised PostgreSQL database with enforced relational integrity, input validation via Pydantic schemas, and pre-import anomaly detection ensures consistent, high-quality data across all disciplines. Automated anomaly flags on teaching hours catch duplicates, outliers, and out-of-period entries. Standardised survey templates with required fields ensure feedback completeness.</w:t>
      </w:r>
    </w:p>
    <w:p>
      <w:pPr>
        <w:spacing w:after="100" w:before="280"/>
      </w:pPr>
      <w:r>
        <w:rPr>
          <w:rFonts w:ascii="Arial" w:cs="Arial" w:eastAsia="Arial" w:hAnsi="Arial"/>
          <w:b/>
          <w:bCs/>
          <w:color w:val="154360"/>
          <w:sz w:val="26"/>
          <w:szCs w:val="26"/>
        </w:rPr>
        <w:t xml:space="preserve">4.3 Faster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BF5FB" w:val="clear"/>
            <w:tcMar>
              <w:top w:type="dxa" w:w="120"/>
              <w:left w:type="dxa" w:w="200"/>
              <w:bottom w:type="dxa" w:w="120"/>
              <w:right w:type="dxa" w:w="200"/>
            </w:tcMar>
          </w:tcPr>
          <w:p>
            <w:pPr>
              <w:spacing w:after="0" w:before="0" w:line="276"/>
            </w:pPr>
            <w:r>
              <w:rPr>
                <w:rFonts w:ascii="Arial" w:cs="Arial" w:eastAsia="Arial" w:hAnsi="Arial"/>
                <w:i/>
                <w:iCs/>
                <w:color w:val="154360"/>
                <w:sz w:val="21"/>
                <w:szCs w:val="21"/>
              </w:rPr>
              <w:t xml:space="preserve">Target: 80% Reduction (From ~5 Minutes to &lt; 1 Minute)</w:t>
            </w:r>
          </w:p>
        </w:tc>
      </w:tr>
    </w:tbl>
    <w:p>
      <w:pPr>
        <w:spacing w:after="0" w:before="60"/>
      </w:pPr>
    </w:p>
    <w:p>
      <w:pPr>
        <w:spacing w:after="80" w:before="80" w:line="276"/>
        <w:jc w:val="both"/>
      </w:pPr>
      <w:r>
        <w:rPr>
          <w:rFonts w:ascii="Arial" w:cs="Arial" w:eastAsia="Arial" w:hAnsi="Arial"/>
          <w:color w:val="2C3E50"/>
          <w:sz w:val="21"/>
          <w:szCs w:val="21"/>
        </w:rPr>
        <w:t xml:space="preserve">Pre-built report templates for Faculty Appraisal, Tutor Billing, Teaching Awards, Programme Quality Review, and Accreditation are generated asynchronously. The custom report builder allows administrators to define ad hoc reports. All reports export to PDF, Excel, and CSV. Scheduled report delivery automates recurring reporting needs entirely.</w:t>
      </w:r>
    </w:p>
    <w:p>
      <w:pPr>
        <w:spacing w:after="100" w:before="280"/>
      </w:pPr>
      <w:r>
        <w:rPr>
          <w:rFonts w:ascii="Arial" w:cs="Arial" w:eastAsia="Arial" w:hAnsi="Arial"/>
          <w:b/>
          <w:bCs/>
          <w:color w:val="154360"/>
          <w:sz w:val="26"/>
          <w:szCs w:val="26"/>
        </w:rPr>
        <w:t xml:space="preserve">4.4 Improved Staff and User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BF5FB" w:val="clear"/>
            <w:tcMar>
              <w:top w:type="dxa" w:w="120"/>
              <w:left w:type="dxa" w:w="200"/>
              <w:bottom w:type="dxa" w:w="120"/>
              <w:right w:type="dxa" w:w="200"/>
            </w:tcMar>
          </w:tcPr>
          <w:p>
            <w:pPr>
              <w:spacing w:after="0" w:before="0" w:line="276"/>
            </w:pPr>
            <w:r>
              <w:rPr>
                <w:rFonts w:ascii="Arial" w:cs="Arial" w:eastAsia="Arial" w:hAnsi="Arial"/>
                <w:i/>
                <w:iCs/>
                <w:color w:val="154360"/>
                <w:sz w:val="21"/>
                <w:szCs w:val="21"/>
              </w:rPr>
              <w:t xml:space="preserve">Target: ≥ 30% Increase in Survey Completion Rates</w:t>
            </w:r>
          </w:p>
        </w:tc>
      </w:tr>
    </w:tbl>
    <w:p>
      <w:pPr>
        <w:spacing w:after="0" w:before="60"/>
      </w:pPr>
    </w:p>
    <w:p>
      <w:pPr>
        <w:spacing w:after="80" w:before="80" w:line="276"/>
        <w:jc w:val="both"/>
      </w:pPr>
      <w:r>
        <w:rPr>
          <w:rFonts w:ascii="Arial" w:cs="Arial" w:eastAsia="Arial" w:hAnsi="Arial"/>
          <w:color w:val="2C3E50"/>
          <w:sz w:val="21"/>
          <w:szCs w:val="21"/>
        </w:rPr>
        <w:t xml:space="preserve">The batched survey engine is specifically designed to increase participation by reducing survey fatigue. Instead of receiving a survey for every tutor interaction in a day, students receive one consolidated survey per configured cadence. Automated reminders at configurable intervals drive completion. The clean, mobile-responsive survey form makes the feedback process quick and intuitive.</w:t>
      </w:r>
    </w:p>
    <w:p>
      <w:r>
        <w:br w:type="page"/>
      </w:r>
    </w:p>
    <w:p>
      <w:pPr>
        <w:pBdr>
          <w:bottom w:val="single" w:color="2E86C1" w:sz="6" w:space="8"/>
        </w:pBdr>
        <w:spacing w:after="60" w:before="360"/>
      </w:pPr>
      <w:r>
        <w:rPr>
          <w:rFonts w:ascii="Arial" w:cs="Arial" w:eastAsia="Arial" w:hAnsi="Arial"/>
          <w:b/>
          <w:bCs/>
          <w:color w:val="1B4F72"/>
          <w:sz w:val="32"/>
          <w:szCs w:val="32"/>
        </w:rPr>
        <w:t xml:space="preserve">5. Solution Readiness &amp; Maturity</w:t>
      </w:r>
    </w:p>
    <w:p>
      <w:pPr>
        <w:spacing w:after="100" w:before="280"/>
      </w:pPr>
      <w:r>
        <w:rPr>
          <w:rFonts w:ascii="Arial" w:cs="Arial" w:eastAsia="Arial" w:hAnsi="Arial"/>
          <w:b/>
          <w:bCs/>
          <w:color w:val="154360"/>
          <w:sz w:val="26"/>
          <w:szCs w:val="26"/>
        </w:rPr>
        <w:t xml:space="preserve">5.1 Current State — Fully Demoable Prototype</w:t>
      </w:r>
    </w:p>
    <w:p>
      <w:pPr>
        <w:spacing w:after="80" w:before="80" w:line="276"/>
        <w:jc w:val="both"/>
      </w:pPr>
      <w:r>
        <w:rPr>
          <w:rFonts w:ascii="Arial" w:cs="Arial" w:eastAsia="Arial" w:hAnsi="Arial"/>
          <w:b w:val="false"/>
          <w:bCs w:val="false"/>
          <w:i w:val="false"/>
          <w:iCs w:val="false"/>
          <w:color w:val="2C3E50"/>
          <w:sz w:val="21"/>
          <w:szCs w:val="21"/>
        </w:rPr>
        <w:t xml:space="preserve">ClinEdOps is not a wireframe, a set of mockups, or a concept document. </w:t>
      </w:r>
      <w:r>
        <w:rPr>
          <w:rFonts w:ascii="Arial" w:cs="Arial" w:eastAsia="Arial" w:hAnsi="Arial"/>
          <w:b/>
          <w:bCs/>
          <w:i w:val="false"/>
          <w:iCs w:val="false"/>
          <w:color w:val="2C3E50"/>
          <w:sz w:val="21"/>
          <w:szCs w:val="21"/>
        </w:rPr>
        <w:t xml:space="preserve">The platform is fully built and in a demoable state.</w:t>
      </w:r>
      <w:r>
        <w:rPr>
          <w:rFonts w:ascii="Arial" w:cs="Arial" w:eastAsia="Arial" w:hAnsi="Arial"/>
          <w:b w:val="false"/>
          <w:bCs w:val="false"/>
          <w:i w:val="false"/>
          <w:iCs w:val="false"/>
          <w:color w:val="2C3E50"/>
          <w:sz w:val="21"/>
          <w:szCs w:val="21"/>
        </w:rPr>
        <w:t xml:space="preserve"> The working prototype includes:</w:t>
      </w:r>
    </w:p>
    <w:p>
      <w:pPr>
        <w:pStyle w:val="ListParagraph"/>
        <w:numPr>
          <w:ilvl w:val="0"/>
          <w:numId w:val="2"/>
        </w:numPr>
        <w:spacing w:after="40" w:before="40" w:line="276"/>
      </w:pPr>
      <w:r>
        <w:rPr>
          <w:rFonts w:ascii="Arial" w:cs="Arial" w:eastAsia="Arial" w:hAnsi="Arial"/>
          <w:color w:val="2C3E50"/>
          <w:sz w:val="21"/>
          <w:szCs w:val="21"/>
        </w:rPr>
        <w:t xml:space="preserve">Authenticated login with role-based access (Admin, Supervisor, Tutor, Student roles)</w:t>
      </w:r>
    </w:p>
    <w:p>
      <w:pPr>
        <w:pStyle w:val="ListParagraph"/>
        <w:numPr>
          <w:ilvl w:val="0"/>
          <w:numId w:val="2"/>
        </w:numPr>
        <w:spacing w:after="40" w:before="40" w:line="276"/>
      </w:pPr>
      <w:r>
        <w:rPr>
          <w:rFonts w:ascii="Arial" w:cs="Arial" w:eastAsia="Arial" w:hAnsi="Arial"/>
          <w:color w:val="2C3E50"/>
          <w:sz w:val="21"/>
          <w:szCs w:val="21"/>
        </w:rPr>
        <w:t xml:space="preserve">Complete student and tutor record management with batch import from Excel/CSV</w:t>
      </w:r>
    </w:p>
    <w:p>
      <w:pPr>
        <w:pStyle w:val="ListParagraph"/>
        <w:numPr>
          <w:ilvl w:val="0"/>
          <w:numId w:val="2"/>
        </w:numPr>
        <w:spacing w:after="40" w:before="40" w:line="276"/>
      </w:pPr>
      <w:r>
        <w:rPr>
          <w:rFonts w:ascii="Arial" w:cs="Arial" w:eastAsia="Arial" w:hAnsi="Arial"/>
          <w:color w:val="2C3E50"/>
          <w:sz w:val="21"/>
          <w:szCs w:val="21"/>
        </w:rPr>
        <w:t xml:space="preserve">Posting creation, assignment, and lifecycle management</w:t>
      </w:r>
    </w:p>
    <w:p>
      <w:pPr>
        <w:pStyle w:val="ListParagraph"/>
        <w:numPr>
          <w:ilvl w:val="0"/>
          <w:numId w:val="2"/>
        </w:numPr>
        <w:spacing w:after="40" w:before="40" w:line="276"/>
      </w:pPr>
      <w:r>
        <w:rPr>
          <w:rFonts w:ascii="Arial" w:cs="Arial" w:eastAsia="Arial" w:hAnsi="Arial"/>
          <w:color w:val="2C3E50"/>
          <w:sz w:val="21"/>
          <w:szCs w:val="21"/>
        </w:rPr>
        <w:t xml:space="preserve">Teaching session logging with multi-level approval workflow</w:t>
      </w:r>
    </w:p>
    <w:p>
      <w:pPr>
        <w:pStyle w:val="ListParagraph"/>
        <w:numPr>
          <w:ilvl w:val="0"/>
          <w:numId w:val="2"/>
        </w:numPr>
        <w:spacing w:after="40" w:before="40" w:line="276"/>
      </w:pPr>
      <w:r>
        <w:rPr>
          <w:rFonts w:ascii="Arial" w:cs="Arial" w:eastAsia="Arial" w:hAnsi="Arial"/>
          <w:color w:val="2C3E50"/>
          <w:sz w:val="21"/>
          <w:szCs w:val="21"/>
        </w:rPr>
        <w:t xml:space="preserve">Configurable survey template builder with batched survey dispatch and submission</w:t>
      </w:r>
    </w:p>
    <w:p>
      <w:pPr>
        <w:pStyle w:val="ListParagraph"/>
        <w:numPr>
          <w:ilvl w:val="0"/>
          <w:numId w:val="2"/>
        </w:numPr>
        <w:spacing w:after="40" w:before="40" w:line="276"/>
      </w:pPr>
      <w:r>
        <w:rPr>
          <w:rFonts w:ascii="Arial" w:cs="Arial" w:eastAsia="Arial" w:hAnsi="Arial"/>
          <w:color w:val="2C3E50"/>
          <w:sz w:val="21"/>
          <w:szCs w:val="21"/>
        </w:rPr>
        <w:t xml:space="preserve">Real-time dashboards with live data visualisations</w:t>
      </w:r>
    </w:p>
    <w:p>
      <w:pPr>
        <w:pStyle w:val="ListParagraph"/>
        <w:numPr>
          <w:ilvl w:val="0"/>
          <w:numId w:val="2"/>
        </w:numPr>
        <w:spacing w:after="40" w:before="40" w:line="276"/>
      </w:pPr>
      <w:r>
        <w:rPr>
          <w:rFonts w:ascii="Arial" w:cs="Arial" w:eastAsia="Arial" w:hAnsi="Arial"/>
          <w:color w:val="2C3E50"/>
          <w:sz w:val="21"/>
          <w:szCs w:val="21"/>
        </w:rPr>
        <w:t xml:space="preserve">Report generation (appraisal, billing) with export to PDF/Excel/CSV</w:t>
      </w:r>
    </w:p>
    <w:p>
      <w:pPr>
        <w:pStyle w:val="ListParagraph"/>
        <w:numPr>
          <w:ilvl w:val="0"/>
          <w:numId w:val="2"/>
        </w:numPr>
        <w:spacing w:after="40" w:before="40" w:line="276"/>
      </w:pPr>
      <w:r>
        <w:rPr>
          <w:rFonts w:ascii="Arial" w:cs="Arial" w:eastAsia="Arial" w:hAnsi="Arial"/>
          <w:color w:val="2C3E50"/>
          <w:sz w:val="21"/>
          <w:szCs w:val="21"/>
        </w:rPr>
        <w:t xml:space="preserve">In-app notification system</w:t>
      </w:r>
    </w:p>
    <w:p>
      <w:pPr>
        <w:pStyle w:val="ListParagraph"/>
        <w:numPr>
          <w:ilvl w:val="0"/>
          <w:numId w:val="2"/>
        </w:numPr>
        <w:spacing w:after="40" w:before="40" w:line="276"/>
      </w:pPr>
      <w:r>
        <w:rPr>
          <w:rFonts w:ascii="Arial" w:cs="Arial" w:eastAsia="Arial" w:hAnsi="Arial"/>
          <w:color w:val="2C3E50"/>
          <w:sz w:val="21"/>
          <w:szCs w:val="21"/>
        </w:rPr>
        <w:t xml:space="preserve">Full audit trail visible to administrators</w:t>
      </w:r>
    </w:p>
    <w:p>
      <w:pPr>
        <w:pStyle w:val="ListParagraph"/>
        <w:numPr>
          <w:ilvl w:val="0"/>
          <w:numId w:val="2"/>
        </w:numPr>
        <w:spacing w:after="40" w:before="40" w:line="276"/>
      </w:pPr>
      <w:r>
        <w:rPr>
          <w:rFonts w:ascii="Arial" w:cs="Arial" w:eastAsia="Arial" w:hAnsi="Arial"/>
          <w:color w:val="2C3E50"/>
          <w:sz w:val="21"/>
          <w:szCs w:val="21"/>
        </w:rPr>
        <w:t xml:space="preserve">Seed demo data covering realistic scenarios across disciplines</w:t>
      </w:r>
    </w:p>
    <w:p>
      <w:pPr>
        <w:spacing w:after="100" w:before="280"/>
      </w:pPr>
      <w:r>
        <w:rPr>
          <w:rFonts w:ascii="Arial" w:cs="Arial" w:eastAsia="Arial" w:hAnsi="Arial"/>
          <w:b/>
          <w:bCs/>
          <w:color w:val="154360"/>
          <w:sz w:val="26"/>
          <w:szCs w:val="26"/>
        </w:rPr>
        <w:t xml:space="preserve">5.2 Technology Maturity</w:t>
      </w:r>
    </w:p>
    <w:p>
      <w:pPr>
        <w:spacing w:after="80" w:before="80" w:line="276"/>
        <w:jc w:val="both"/>
      </w:pPr>
      <w:r>
        <w:rPr>
          <w:rFonts w:ascii="Arial" w:cs="Arial" w:eastAsia="Arial" w:hAnsi="Arial"/>
          <w:color w:val="2C3E50"/>
          <w:sz w:val="21"/>
          <w:szCs w:val="21"/>
        </w:rPr>
        <w:t xml:space="preserve">The technology stack powering ClinEdOps is battle-tested and production-grade. React 18 is the most widely adopted frontend framework. FastAPI is used in production by Microsoft, Netflix, and Uber. PostgreSQL 16 is trusted by healthcare, finance, and government organisations globally. Our prototype runs on Docker Compose today; the AWS ECS Fargate production deployment is fully designed and scoped as a defined milestone in our delivery timeline.</w:t>
      </w:r>
    </w:p>
    <w:p>
      <w:r>
        <w:br w:type="page"/>
      </w:r>
    </w:p>
    <w:p>
      <w:pPr>
        <w:pBdr>
          <w:bottom w:val="single" w:color="2E86C1" w:sz="6" w:space="8"/>
        </w:pBdr>
        <w:spacing w:after="60" w:before="360"/>
      </w:pPr>
      <w:r>
        <w:rPr>
          <w:rFonts w:ascii="Arial" w:cs="Arial" w:eastAsia="Arial" w:hAnsi="Arial"/>
          <w:b/>
          <w:bCs/>
          <w:color w:val="1B4F72"/>
          <w:sz w:val="32"/>
          <w:szCs w:val="32"/>
        </w:rPr>
        <w:t xml:space="preserve">6. Scalability Considerations</w:t>
      </w:r>
    </w:p>
    <w:p>
      <w:pPr>
        <w:spacing w:after="100" w:before="280"/>
      </w:pPr>
      <w:r>
        <w:rPr>
          <w:rFonts w:ascii="Arial" w:cs="Arial" w:eastAsia="Arial" w:hAnsi="Arial"/>
          <w:b/>
          <w:bCs/>
          <w:color w:val="154360"/>
          <w:sz w:val="26"/>
          <w:szCs w:val="26"/>
        </w:rPr>
        <w:t xml:space="preserve">6.1 Scaling Within NUH</w:t>
      </w:r>
    </w:p>
    <w:p>
      <w:pPr>
        <w:spacing w:after="80" w:before="80" w:line="276"/>
        <w:jc w:val="both"/>
      </w:pPr>
      <w:r>
        <w:rPr>
          <w:rFonts w:ascii="Arial" w:cs="Arial" w:eastAsia="Arial" w:hAnsi="Arial"/>
          <w:b/>
          <w:bCs/>
          <w:i w:val="false"/>
          <w:iCs w:val="false"/>
          <w:color w:val="2C3E50"/>
          <w:sz w:val="21"/>
          <w:szCs w:val="21"/>
        </w:rPr>
        <w:t xml:space="preserve">Student volume growth: </w:t>
      </w:r>
      <w:r>
        <w:rPr>
          <w:rFonts w:ascii="Arial" w:cs="Arial" w:eastAsia="Arial" w:hAnsi="Arial"/>
          <w:b w:val="false"/>
          <w:bCs w:val="false"/>
          <w:i w:val="false"/>
          <w:iCs w:val="false"/>
          <w:color w:val="2C3E50"/>
          <w:sz w:val="21"/>
          <w:szCs w:val="21"/>
        </w:rPr>
        <w:t xml:space="preserve">PostgreSQL with proper indexing and read replicas handles large cohorts efficiently. Cursor-based pagination ensures consistent performance as data volumes grow.</w:t>
      </w:r>
    </w:p>
    <w:p>
      <w:pPr>
        <w:spacing w:after="80" w:before="80" w:line="276"/>
        <w:jc w:val="both"/>
      </w:pPr>
      <w:r>
        <w:rPr>
          <w:rFonts w:ascii="Arial" w:cs="Arial" w:eastAsia="Arial" w:hAnsi="Arial"/>
          <w:b/>
          <w:bCs/>
          <w:i w:val="false"/>
          <w:iCs w:val="false"/>
          <w:color w:val="2C3E50"/>
          <w:sz w:val="21"/>
          <w:szCs w:val="21"/>
        </w:rPr>
        <w:t xml:space="preserve">Additional disciplines and programmes: </w:t>
      </w:r>
      <w:r>
        <w:rPr>
          <w:rFonts w:ascii="Arial" w:cs="Arial" w:eastAsia="Arial" w:hAnsi="Arial"/>
          <w:b w:val="false"/>
          <w:bCs w:val="false"/>
          <w:i w:val="false"/>
          <w:iCs w:val="false"/>
          <w:color w:val="2C3E50"/>
          <w:sz w:val="21"/>
          <w:szCs w:val="21"/>
        </w:rPr>
        <w:t xml:space="preserve">The configurable architecture — survey templates, RBAC permissions, department structures, and academic cycles — all support adding new programmes without code changes.</w:t>
      </w:r>
    </w:p>
    <w:p>
      <w:pPr>
        <w:spacing w:after="80" w:before="80" w:line="276"/>
        <w:jc w:val="both"/>
      </w:pPr>
      <w:r>
        <w:rPr>
          <w:rFonts w:ascii="Arial" w:cs="Arial" w:eastAsia="Arial" w:hAnsi="Arial"/>
          <w:b/>
          <w:bCs/>
          <w:i w:val="false"/>
          <w:iCs w:val="false"/>
          <w:color w:val="2C3E50"/>
          <w:sz w:val="21"/>
          <w:szCs w:val="21"/>
        </w:rPr>
        <w:t xml:space="preserve">Concurrent user scaling: </w:t>
      </w:r>
      <w:r>
        <w:rPr>
          <w:rFonts w:ascii="Arial" w:cs="Arial" w:eastAsia="Arial" w:hAnsi="Arial"/>
          <w:b w:val="false"/>
          <w:bCs w:val="false"/>
          <w:i w:val="false"/>
          <w:iCs w:val="false"/>
          <w:color w:val="2C3E50"/>
          <w:sz w:val="21"/>
          <w:szCs w:val="21"/>
        </w:rPr>
        <w:t xml:space="preserve">ECS Fargate auto-scaling provisions additional container instances based on CPU utilisation thresholds. The stateless API design ensures any container can serve any request.</w:t>
      </w:r>
    </w:p>
    <w:p>
      <w:pPr>
        <w:spacing w:after="100" w:before="280"/>
      </w:pPr>
      <w:r>
        <w:rPr>
          <w:rFonts w:ascii="Arial" w:cs="Arial" w:eastAsia="Arial" w:hAnsi="Arial"/>
          <w:b/>
          <w:bCs/>
          <w:color w:val="154360"/>
          <w:sz w:val="26"/>
          <w:szCs w:val="26"/>
        </w:rPr>
        <w:t xml:space="preserve">6.2 Multi-Institution Expansion</w:t>
      </w:r>
    </w:p>
    <w:p>
      <w:pPr>
        <w:spacing w:after="80" w:before="80" w:line="276"/>
        <w:jc w:val="both"/>
      </w:pPr>
      <w:r>
        <w:rPr>
          <w:rFonts w:ascii="Arial" w:cs="Arial" w:eastAsia="Arial" w:hAnsi="Arial"/>
          <w:color w:val="2C3E50"/>
          <w:sz w:val="21"/>
          <w:szCs w:val="21"/>
        </w:rPr>
        <w:t xml:space="preserve">The post-POC roadmap includes expansion to other NUHS-affiliated institutions. The database schema, RBAC model, and API design are architecturally prepared for this transition:</w:t>
      </w:r>
    </w:p>
    <w:p>
      <w:pPr>
        <w:pStyle w:val="ListParagraph"/>
        <w:numPr>
          <w:ilvl w:val="0"/>
          <w:numId w:val="2"/>
        </w:numPr>
        <w:spacing w:after="40" w:before="40" w:line="276"/>
      </w:pPr>
      <w:r>
        <w:rPr>
          <w:rFonts w:ascii="Arial" w:cs="Arial" w:eastAsia="Arial" w:hAnsi="Arial"/>
          <w:color w:val="2C3E50"/>
          <w:sz w:val="21"/>
          <w:szCs w:val="21"/>
        </w:rPr>
        <w:t xml:space="preserve">Institution-scoped data partitioning</w:t>
      </w:r>
    </w:p>
    <w:p>
      <w:pPr>
        <w:pStyle w:val="ListParagraph"/>
        <w:numPr>
          <w:ilvl w:val="0"/>
          <w:numId w:val="2"/>
        </w:numPr>
        <w:spacing w:after="40" w:before="40" w:line="276"/>
      </w:pPr>
      <w:r>
        <w:rPr>
          <w:rFonts w:ascii="Arial" w:cs="Arial" w:eastAsia="Arial" w:hAnsi="Arial"/>
          <w:color w:val="2C3E50"/>
          <w:sz w:val="21"/>
          <w:szCs w:val="21"/>
        </w:rPr>
        <w:t xml:space="preserve">Multi-tenant RBAC with institution-level isolation</w:t>
      </w:r>
    </w:p>
    <w:p>
      <w:pPr>
        <w:pStyle w:val="ListParagraph"/>
        <w:numPr>
          <w:ilvl w:val="0"/>
          <w:numId w:val="2"/>
        </w:numPr>
        <w:spacing w:after="40" w:before="40" w:line="276"/>
      </w:pPr>
      <w:r>
        <w:rPr>
          <w:rFonts w:ascii="Arial" w:cs="Arial" w:eastAsia="Arial" w:hAnsi="Arial"/>
          <w:color w:val="2C3E50"/>
          <w:sz w:val="21"/>
          <w:szCs w:val="21"/>
        </w:rPr>
        <w:t xml:space="preserve">Shared configuration templates with institution-specific overrides</w:t>
      </w:r>
    </w:p>
    <w:p>
      <w:pPr>
        <w:pStyle w:val="ListParagraph"/>
        <w:numPr>
          <w:ilvl w:val="0"/>
          <w:numId w:val="2"/>
        </w:numPr>
        <w:spacing w:after="40" w:before="40" w:line="276"/>
      </w:pPr>
      <w:r>
        <w:rPr>
          <w:rFonts w:ascii="Arial" w:cs="Arial" w:eastAsia="Arial" w:hAnsi="Arial"/>
          <w:color w:val="2C3E50"/>
          <w:sz w:val="21"/>
          <w:szCs w:val="21"/>
        </w:rPr>
        <w:t xml:space="preserve">Centralised cross-institution reporting for NUHS-level oversight</w:t>
      </w:r>
    </w:p>
    <w:p>
      <w:pPr>
        <w:spacing w:after="100" w:before="280"/>
      </w:pPr>
      <w:r>
        <w:rPr>
          <w:rFonts w:ascii="Arial" w:cs="Arial" w:eastAsia="Arial" w:hAnsi="Arial"/>
          <w:b/>
          <w:bCs/>
          <w:color w:val="154360"/>
          <w:sz w:val="26"/>
          <w:szCs w:val="26"/>
        </w:rPr>
        <w:t xml:space="preserve">6.3 Post-Production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A</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System integrations — NUHS Jobplan Portal, NUS BLUE, TAS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+ 4 weeks</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B</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Advanced analytics — trend analysis, benchmarking, sentiment analysis</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+ 8 weeks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C</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Mobile-first PWA optimisation; optional native mobile app</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+ 12 weeks</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D</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Multi-institution expansion to other NUHS-affiliated hospitals</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+ 16 weeks</w:t>
            </w:r>
          </w:p>
        </w:tc>
      </w:tr>
    </w:tbl>
    <w:p>
      <w:r>
        <w:br w:type="page"/>
      </w:r>
    </w:p>
    <w:p>
      <w:pPr>
        <w:pBdr>
          <w:bottom w:val="single" w:color="2E86C1" w:sz="6" w:space="8"/>
        </w:pBdr>
        <w:spacing w:after="60" w:before="360"/>
      </w:pPr>
      <w:r>
        <w:rPr>
          <w:rFonts w:ascii="Arial" w:cs="Arial" w:eastAsia="Arial" w:hAnsi="Arial"/>
          <w:b/>
          <w:bCs/>
          <w:color w:val="1B4F72"/>
          <w:sz w:val="32"/>
          <w:szCs w:val="32"/>
        </w:rPr>
        <w:t xml:space="preserve">7. Prototype Development Timeline</w:t>
      </w:r>
    </w:p>
    <w:p>
      <w:pPr>
        <w:spacing w:after="80" w:before="80" w:line="276"/>
        <w:jc w:val="both"/>
      </w:pPr>
      <w:r>
        <w:rPr>
          <w:rFonts w:ascii="Arial" w:cs="Arial" w:eastAsia="Arial" w:hAnsi="Arial"/>
          <w:color w:val="2C3E50"/>
          <w:sz w:val="21"/>
          <w:szCs w:val="21"/>
        </w:rPr>
        <w:t xml:space="preserve">The development timeline covers two stages: the completed prototype build (Phases 0–5) and the forward-looking production roadmap (Phases 6–9) that takes ClinEdOps from a working prototype to a production-grade deployment within NUH.</w:t>
      </w:r>
    </w:p>
    <w:p>
      <w:pPr>
        <w:spacing w:after="100" w:before="280"/>
      </w:pPr>
      <w:r>
        <w:rPr>
          <w:rFonts w:ascii="Arial" w:cs="Arial" w:eastAsia="Arial" w:hAnsi="Arial"/>
          <w:b/>
          <w:bCs/>
          <w:color w:val="154360"/>
          <w:sz w:val="26"/>
          <w:szCs w:val="26"/>
        </w:rPr>
        <w:t xml:space="preserve">7.1 Completed — Prototype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4060"/>
        <w:gridCol w:w="260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4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0 — Foundations</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1</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Repo setup, Docker Compose, DB schema, auth system, RBAC skeleton, CI/CD pipeline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Running app skeleton with login</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1 — Core Data</w:t>
            </w:r>
          </w:p>
        </w:tc>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1–2</w:t>
            </w:r>
          </w:p>
        </w:tc>
        <w:tc>
          <w:tcPr>
            <w:tcW w:type="dxa" w:w="40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Student/tutor CRUD, batch import, posting management, academic cycle management, admin panel</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Working data management layer</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2 — Teaching Hours</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2</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Session logging, approval workflow, anomaly detection, tutor dashboard, hours summary</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Full teaching hours module</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3 — Surveys &amp; Feedback</w:t>
            </w:r>
          </w:p>
        </w:tc>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3</w:t>
            </w:r>
          </w:p>
        </w:tc>
        <w:tc>
          <w:tcPr>
            <w:tcW w:type="dxa" w:w="40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Template builder, survey engine, batched survey dispatch, reminder system, feedback analytics</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Feedback collection working</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4 — Reporting</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3–4</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Dashboard KPIs, report generation (PDF/Excel/CSV), scheduled reports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Report centre complete</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5 — Polish &amp; Demo</w:t>
            </w:r>
          </w:p>
        </w:tc>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4</w:t>
            </w:r>
          </w:p>
        </w:tc>
        <w:tc>
          <w:tcPr>
            <w:tcW w:type="dxa" w:w="40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UI polish, seed demo data, end-to-end testing, performance review, demo script preparation</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Challenge submission ready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4"/>
              <w:bottom w:val="single" w:color="2E86C1" w:sz="4"/>
              <w:right w:val="single" w:color="2E86C1" w:sz="4"/>
            </w:tcBorders>
            <w:shd w:fill="D6EAF8" w:val="clear"/>
            <w:tcMar>
              <w:top w:type="dxa" w:w="140"/>
              <w:left w:type="dxa" w:w="200"/>
              <w:bottom w:type="dxa" w:w="140"/>
              <w:right w:type="dxa" w:w="200"/>
            </w:tcMar>
          </w:tcPr>
          <w:p>
            <w:pPr>
              <w:spacing w:after="60" w:before="0"/>
            </w:pPr>
            <w:r>
              <w:rPr>
                <w:rFonts w:ascii="Arial" w:cs="Arial" w:eastAsia="Arial" w:hAnsi="Arial"/>
                <w:b/>
                <w:bCs/>
                <w:color w:val="1B4F72"/>
                <w:sz w:val="22"/>
                <w:szCs w:val="22"/>
              </w:rPr>
              <w:t xml:space="preserve">Current Status</w:t>
            </w:r>
          </w:p>
          <w:p>
            <w:pPr>
              <w:spacing w:after="0" w:before="0" w:line="276"/>
            </w:pPr>
            <w:r>
              <w:rPr>
                <w:rFonts w:ascii="Arial" w:cs="Arial" w:eastAsia="Arial" w:hAnsi="Arial"/>
                <w:color w:val="154360"/>
                <w:sz w:val="21"/>
                <w:szCs w:val="21"/>
              </w:rPr>
              <w:t xml:space="preserve">Phases 0–5 are complete. The prototype is demo-ready.</w:t>
            </w:r>
          </w:p>
        </w:tc>
      </w:tr>
    </w:tbl>
    <w:p>
      <w:pPr>
        <w:spacing w:after="100" w:before="280"/>
      </w:pPr>
      <w:r>
        <w:rPr>
          <w:rFonts w:ascii="Arial" w:cs="Arial" w:eastAsia="Arial" w:hAnsi="Arial"/>
          <w:b/>
          <w:bCs/>
          <w:color w:val="154360"/>
          <w:sz w:val="26"/>
          <w:szCs w:val="26"/>
        </w:rPr>
        <w:t xml:space="preserve">7.2 Forward Roadmap — Prototype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4060"/>
        <w:gridCol w:w="260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4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6 — Customisations &amp; Client Feedback</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5–6</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Incorporate NUH stakeholder feedback; refine UI/UX; adjust workflows, survey templates, and report formats to NUH requirements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Platform tailored to NUH, validated by stakeholders</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7 — AWS Cloud Deployment</w:t>
            </w:r>
          </w:p>
        </w:tc>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7–8</w:t>
            </w:r>
          </w:p>
        </w:tc>
        <w:tc>
          <w:tcPr>
            <w:tcW w:type="dxa" w:w="40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Provision ECS Fargate, RDS PostgreSQL, ElastiCache, S3, CloudFront, Route 53, ALB + WAF; VPC configuration; infrastructure-as-code</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ClinEdOps running on AWS Singapore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8 — Email / SES Integration</w:t>
            </w:r>
          </w:p>
        </w:tc>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8–9</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Configure AWS SES; implement email templates (reminders, alerts, reports); SES domain auth (SPF, DKIM, DMARC); production volume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Operational email and report delivery</w:t>
            </w:r>
          </w:p>
        </w:tc>
      </w:tr>
      <w:tr>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9 — Production Readiness</w:t>
            </w:r>
          </w:p>
        </w:tc>
        <w:tc>
          <w:tcPr>
            <w:tcW w:type="dxa" w:w="1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Week 9–11</w:t>
            </w:r>
          </w:p>
        </w:tc>
        <w:tc>
          <w:tcPr>
            <w:tcW w:type="dxa" w:w="40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Security hardening, load testing (500+ users), observability (CloudWatch, Sentry), SOP creation, UAT with NUH staff</w:t>
            </w:r>
          </w:p>
        </w:tc>
        <w:tc>
          <w:tcPr>
            <w:tcW w:type="dxa" w:w="2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Production-grade with documentation</w:t>
            </w:r>
          </w:p>
        </w:tc>
      </w:tr>
    </w:tbl>
    <w:p>
      <w:pPr>
        <w:spacing w:after="100" w:before="280"/>
      </w:pPr>
      <w:r>
        <w:rPr>
          <w:rFonts w:ascii="Arial" w:cs="Arial" w:eastAsia="Arial" w:hAnsi="Arial"/>
          <w:b/>
          <w:bCs/>
          <w:color w:val="154360"/>
          <w:sz w:val="26"/>
          <w:szCs w:val="26"/>
        </w:rPr>
        <w:t xml:space="preserve">7.3 Post-Production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A</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System integrations — NUHS Jobplan Portal, NUS BLUE, TAS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+ 4 weeks</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B</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Advanced analytics — trend analysis, sentiment analysis</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+ 8 weeks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C</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Mobile-first PWA; optional native mobile app</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+ 12 weeks</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Phase D</w:t>
            </w:r>
          </w:p>
        </w:tc>
        <w:tc>
          <w:tcPr>
            <w:tcW w:type="dxa" w:w="5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Multi-institution expansion</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Post-production + 16 weeks</w:t>
            </w:r>
          </w:p>
        </w:tc>
      </w:tr>
    </w:tbl>
    <w:p>
      <w:r>
        <w:br w:type="page"/>
      </w:r>
    </w:p>
    <w:p>
      <w:pPr>
        <w:pBdr>
          <w:bottom w:val="single" w:color="2E86C1" w:sz="6" w:space="8"/>
        </w:pBdr>
        <w:spacing w:after="60" w:before="360"/>
      </w:pPr>
      <w:r>
        <w:rPr>
          <w:rFonts w:ascii="Arial" w:cs="Arial" w:eastAsia="Arial" w:hAnsi="Arial"/>
          <w:b/>
          <w:bCs/>
          <w:color w:val="1B4F72"/>
          <w:sz w:val="32"/>
          <w:szCs w:val="32"/>
        </w:rPr>
        <w:t xml:space="preserve">8. Company Profile — SlashLLM</w:t>
      </w:r>
    </w:p>
    <w:p>
      <w:pPr>
        <w:spacing w:after="100" w:before="280"/>
      </w:pPr>
      <w:r>
        <w:rPr>
          <w:rFonts w:ascii="Arial" w:cs="Arial" w:eastAsia="Arial" w:hAnsi="Arial"/>
          <w:b/>
          <w:bCs/>
          <w:color w:val="154360"/>
          <w:sz w:val="26"/>
          <w:szCs w:val="26"/>
        </w:rPr>
        <w:t xml:space="preserve">8.1 About Us</w:t>
      </w:r>
    </w:p>
    <w:p>
      <w:pPr>
        <w:spacing w:after="80" w:before="80" w:line="276"/>
        <w:jc w:val="both"/>
      </w:pPr>
      <w:r>
        <w:rPr>
          <w:rFonts w:ascii="Arial" w:cs="Arial" w:eastAsia="Arial" w:hAnsi="Arial"/>
          <w:color w:val="2C3E50"/>
          <w:sz w:val="21"/>
          <w:szCs w:val="21"/>
        </w:rPr>
        <w:t xml:space="preserve">SlashLLM is a technology company specialising in building intelligent, production-grade software platforms. We combine deep technical expertise in modern web development, cloud infrastructure, and AI/ML with a proven track record of delivering end-to-end solutions across healthcare, compliance, finance, and enterprise sectors.</w:t>
      </w:r>
    </w:p>
    <w:p>
      <w:pPr>
        <w:spacing w:after="80" w:before="80" w:line="276"/>
        <w:jc w:val="both"/>
      </w:pPr>
      <w:r>
        <w:rPr>
          <w:rFonts w:ascii="Arial" w:cs="Arial" w:eastAsia="Arial" w:hAnsi="Arial"/>
          <w:color w:val="2C3E50"/>
          <w:sz w:val="21"/>
          <w:szCs w:val="21"/>
        </w:rPr>
        <w:t xml:space="preserve">Our approach is defined by speed without compromise — we move fast because our engineering practices are disciplined, not because we cut corners. We build on battle-tested technology stacks, implement robust security and compliance from day one, and deliver products that are ready for real-world deployment.</w:t>
      </w:r>
    </w:p>
    <w:p>
      <w:pPr>
        <w:spacing w:after="100" w:before="280"/>
      </w:pPr>
      <w:r>
        <w:rPr>
          <w:rFonts w:ascii="Arial" w:cs="Arial" w:eastAsia="Arial" w:hAnsi="Arial"/>
          <w:b/>
          <w:bCs/>
          <w:color w:val="154360"/>
          <w:sz w:val="26"/>
          <w:szCs w:val="26"/>
        </w:rPr>
        <w:t xml:space="preserve">8.2 Relevant Past Projects</w:t>
      </w:r>
    </w:p>
    <w:p>
      <w:pPr>
        <w:spacing w:after="80" w:before="80" w:line="276"/>
        <w:jc w:val="both"/>
      </w:pPr>
      <w:r>
        <w:rPr>
          <w:rFonts w:ascii="Arial" w:cs="Arial" w:eastAsia="Arial" w:hAnsi="Arial"/>
          <w:b/>
          <w:bCs/>
          <w:i w:val="false"/>
          <w:iCs w:val="false"/>
          <w:color w:val="2C3E50"/>
          <w:sz w:val="21"/>
          <w:szCs w:val="21"/>
        </w:rPr>
        <w:t xml:space="preserve">AI-Powered Care Home Management Platform (Healthcare / Europe)
</w:t>
      </w:r>
      <w:r>
        <w:rPr>
          <w:rFonts w:ascii="Arial" w:cs="Arial" w:eastAsia="Arial" w:hAnsi="Arial"/>
          <w:b w:val="false"/>
          <w:bCs w:val="false"/>
          <w:i w:val="false"/>
          <w:iCs w:val="false"/>
          <w:color w:val="2C3E50"/>
          <w:sz w:val="21"/>
          <w:szCs w:val="21"/>
        </w:rPr>
        <w:t xml:space="preserve">Built an end-to-end care home management application with AI-powered operational capabilities. Demonstrates direct experience in healthcare operations software — multi-role access control, lifecycle management, compliance reporting, and data privacy.</w:t>
      </w:r>
    </w:p>
    <w:p>
      <w:pPr>
        <w:spacing w:after="80" w:before="80" w:line="276"/>
        <w:jc w:val="both"/>
      </w:pPr>
      <w:r>
        <w:rPr>
          <w:rFonts w:ascii="Arial" w:cs="Arial" w:eastAsia="Arial" w:hAnsi="Arial"/>
          <w:b/>
          <w:bCs/>
          <w:i w:val="false"/>
          <w:iCs w:val="false"/>
          <w:color w:val="2C3E50"/>
          <w:sz w:val="21"/>
          <w:szCs w:val="21"/>
        </w:rPr>
        <w:t xml:space="preserve">AI Agent for Video Interview Analysis (AWS / Microservices)
</w:t>
      </w:r>
      <w:r>
        <w:rPr>
          <w:rFonts w:ascii="Arial" w:cs="Arial" w:eastAsia="Arial" w:hAnsi="Arial"/>
          <w:b w:val="false"/>
          <w:bCs w:val="false"/>
          <w:i w:val="false"/>
          <w:iCs w:val="false"/>
          <w:color w:val="2C3E50"/>
          <w:sz w:val="21"/>
          <w:szCs w:val="21"/>
        </w:rPr>
        <w:t xml:space="preserve">Live video interview analysis platform on AWS using microservices architecture. Showcases proficiency with the exact infrastructure stack underpinning ClinEdOps — AWS services, containerised microservices, async processing, and automated report generation.</w:t>
      </w:r>
    </w:p>
    <w:p>
      <w:pPr>
        <w:spacing w:after="80" w:before="80" w:line="276"/>
        <w:jc w:val="both"/>
      </w:pPr>
      <w:r>
        <w:rPr>
          <w:rFonts w:ascii="Arial" w:cs="Arial" w:eastAsia="Arial" w:hAnsi="Arial"/>
          <w:b/>
          <w:bCs/>
          <w:i w:val="false"/>
          <w:iCs w:val="false"/>
          <w:color w:val="2C3E50"/>
          <w:sz w:val="21"/>
          <w:szCs w:val="21"/>
        </w:rPr>
        <w:t xml:space="preserve">Food AI Compliance Platform (Regulatory / Compliance)
</w:t>
      </w:r>
      <w:r>
        <w:rPr>
          <w:rFonts w:ascii="Arial" w:cs="Arial" w:eastAsia="Arial" w:hAnsi="Arial"/>
          <w:b w:val="false"/>
          <w:bCs w:val="false"/>
          <w:i w:val="false"/>
          <w:iCs w:val="false"/>
          <w:color w:val="2C3E50"/>
          <w:sz w:val="21"/>
          <w:szCs w:val="21"/>
        </w:rPr>
        <w:t xml:space="preserve">AI-powered food compliance application automating nutrition labels, HACCP 2 plans, and SOP management. Demonstrates ability to build configurable, regulation-aware platforms — directly transferable to PDPA-compliant clinical education systems.</w:t>
      </w:r>
    </w:p>
    <w:p>
      <w:pPr>
        <w:spacing w:after="80" w:before="80" w:line="276"/>
        <w:jc w:val="both"/>
      </w:pPr>
      <w:r>
        <w:rPr>
          <w:rFonts w:ascii="Arial" w:cs="Arial" w:eastAsia="Arial" w:hAnsi="Arial"/>
          <w:b/>
          <w:bCs/>
          <w:i w:val="false"/>
          <w:iCs w:val="false"/>
          <w:color w:val="2C3E50"/>
          <w:sz w:val="21"/>
          <w:szCs w:val="21"/>
        </w:rPr>
        <w:t xml:space="preserve">Production-Grade AI Infrastructure Layer (Platform Engineering)
</w:t>
      </w:r>
      <w:r>
        <w:rPr>
          <w:rFonts w:ascii="Arial" w:cs="Arial" w:eastAsia="Arial" w:hAnsi="Arial"/>
          <w:b w:val="false"/>
          <w:bCs w:val="false"/>
          <w:i w:val="false"/>
          <w:iCs w:val="false"/>
          <w:color w:val="2C3E50"/>
          <w:sz w:val="21"/>
          <w:szCs w:val="21"/>
        </w:rPr>
        <w:t xml:space="preserve">Infrastructure layer implementing guardrails, AI gateway, observability, red teaming, and governance. Showcases expertise in building robust, secure, observable production systems.</w:t>
      </w:r>
    </w:p>
    <w:p>
      <w:pPr>
        <w:spacing w:after="80" w:before="80" w:line="276"/>
        <w:jc w:val="both"/>
      </w:pPr>
      <w:r>
        <w:rPr>
          <w:rFonts w:ascii="Arial" w:cs="Arial" w:eastAsia="Arial" w:hAnsi="Arial"/>
          <w:b/>
          <w:bCs/>
          <w:i w:val="false"/>
          <w:iCs w:val="false"/>
          <w:color w:val="2C3E50"/>
          <w:sz w:val="21"/>
          <w:szCs w:val="21"/>
        </w:rPr>
        <w:t xml:space="preserve">End-to-End DevOps &amp; Platform Engineering (Singapore / HR Tech)
</w:t>
      </w:r>
      <w:r>
        <w:rPr>
          <w:rFonts w:ascii="Arial" w:cs="Arial" w:eastAsia="Arial" w:hAnsi="Arial"/>
          <w:b w:val="false"/>
          <w:bCs w:val="false"/>
          <w:i w:val="false"/>
          <w:iCs w:val="false"/>
          <w:color w:val="2C3E50"/>
          <w:sz w:val="21"/>
          <w:szCs w:val="21"/>
        </w:rPr>
        <w:t xml:space="preserve">Development lifecycle and DevOps platform for a Singapore-based HR tech company. Demonstrates operational experience within the Singapore technology ecosystem.</w:t>
      </w:r>
    </w:p>
    <w:p>
      <w:pPr>
        <w:spacing w:after="80" w:before="80" w:line="276"/>
        <w:jc w:val="both"/>
      </w:pPr>
      <w:r>
        <w:rPr>
          <w:rFonts w:ascii="Arial" w:cs="Arial" w:eastAsia="Arial" w:hAnsi="Arial"/>
          <w:b/>
          <w:bCs/>
          <w:i w:val="false"/>
          <w:iCs w:val="false"/>
          <w:color w:val="2C3E50"/>
          <w:sz w:val="21"/>
          <w:szCs w:val="21"/>
        </w:rPr>
        <w:t xml:space="preserve">Finance Tracker &amp; Estate Planning Software (Fintech)
</w:t>
      </w:r>
      <w:r>
        <w:rPr>
          <w:rFonts w:ascii="Arial" w:cs="Arial" w:eastAsia="Arial" w:hAnsi="Arial"/>
          <w:b w:val="false"/>
          <w:bCs w:val="false"/>
          <w:i w:val="false"/>
          <w:iCs w:val="false"/>
          <w:color w:val="2C3E50"/>
          <w:sz w:val="21"/>
          <w:szCs w:val="21"/>
        </w:rPr>
        <w:t xml:space="preserve">Financial asset tracking and estate planning with automated notification systems and complex business logic — capabilities directly applied in ClinEdOps.</w:t>
      </w:r>
    </w:p>
    <w:p>
      <w:pPr>
        <w:spacing w:after="100" w:before="280"/>
      </w:pPr>
      <w:r>
        <w:rPr>
          <w:rFonts w:ascii="Arial" w:cs="Arial" w:eastAsia="Arial" w:hAnsi="Arial"/>
          <w:b/>
          <w:bCs/>
          <w:color w:val="154360"/>
          <w:sz w:val="26"/>
          <w:szCs w:val="26"/>
        </w:rPr>
        <w:t xml:space="preserve">8.3 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5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Contribution to ClinEdOps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bCs/>
                <w:color w:val="2C3E50"/>
                <w:sz w:val="20"/>
                <w:szCs w:val="20"/>
              </w:rPr>
              <w:t xml:space="preserve">Mridhul Pax</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CEO &amp; Chief Architect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Solution architecture, system design, technical strategy, stakeholder engagement</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bCs/>
                <w:color w:val="2C3E50"/>
                <w:sz w:val="20"/>
                <w:szCs w:val="20"/>
              </w:rPr>
              <w:t xml:space="preserve">Dinesh K</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Project Manager</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Delivery planning, milestone tracking, NUH coordination, risk management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bCs/>
                <w:color w:val="2C3E50"/>
                <w:sz w:val="20"/>
                <w:szCs w:val="20"/>
              </w:rPr>
              <w:t xml:space="preserve">Anandhu</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Lead Engineer</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Full-stack development, API design, database architecture, core module implementation</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bCs/>
                <w:color w:val="2C3E50"/>
                <w:sz w:val="20"/>
                <w:szCs w:val="20"/>
              </w:rPr>
              <w:t xml:space="preserve">Ashik J</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Senior Engineer</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Frontend development, UI/UX implementation, dashboard and reporting interfaces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bCs/>
                <w:color w:val="2C3E50"/>
                <w:sz w:val="20"/>
                <w:szCs w:val="20"/>
              </w:rPr>
              <w:t xml:space="preserve">Annie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Lead QA</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Test strategy, end-to-end testing, quality assurance, UAT coordination</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bCs/>
                <w:color w:val="2C3E50"/>
                <w:sz w:val="20"/>
                <w:szCs w:val="20"/>
              </w:rPr>
              <w:t xml:space="preserve">Shyam</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DevOps Engineer</w:t>
            </w:r>
          </w:p>
        </w:tc>
        <w:tc>
          <w:tcPr>
            <w:tcW w:type="dxa" w:w="5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after="40" w:before="40"/>
            </w:pPr>
            <w:r>
              <w:rPr>
                <w:rFonts w:ascii="Arial" w:cs="Arial" w:eastAsia="Arial" w:hAnsi="Arial"/>
                <w:b w:val="false"/>
                <w:bCs w:val="false"/>
                <w:color w:val="2C3E50"/>
                <w:sz w:val="20"/>
                <w:szCs w:val="20"/>
              </w:rPr>
              <w:t xml:space="preserve">AWS infrastructure, Docker containerisation, CI/CD pipeline, production deployment</w:t>
            </w:r>
          </w:p>
        </w:tc>
      </w:tr>
    </w:tbl>
    <w:p>
      <w:pPr>
        <w:spacing w:after="0" w:before="80"/>
      </w:pPr>
    </w:p>
    <w:p>
      <w:pPr>
        <w:spacing w:after="80" w:before="80" w:line="276"/>
        <w:jc w:val="both"/>
      </w:pPr>
      <w:r>
        <w:rPr>
          <w:rFonts w:ascii="Arial" w:cs="Arial" w:eastAsia="Arial" w:hAnsi="Arial"/>
          <w:color w:val="2C3E50"/>
          <w:sz w:val="21"/>
          <w:szCs w:val="21"/>
        </w:rPr>
        <w:t xml:space="preserve">Our team combines architectural vision, engineering execution, project delivery discipline, quality assurance rigour, and infrastructure expertise — covering the full lifecycle from design through deployment and operations.</w:t>
      </w:r>
    </w:p>
    <w:p>
      <w:r>
        <w:br w:type="page"/>
      </w:r>
    </w:p>
    <w:p>
      <w:pPr>
        <w:pBdr>
          <w:bottom w:val="single" w:color="2E86C1" w:sz="6" w:space="8"/>
        </w:pBdr>
        <w:spacing w:after="60" w:before="360"/>
      </w:pPr>
      <w:r>
        <w:rPr>
          <w:rFonts w:ascii="Arial" w:cs="Arial" w:eastAsia="Arial" w:hAnsi="Arial"/>
          <w:b/>
          <w:bCs/>
          <w:color w:val="1B4F72"/>
          <w:sz w:val="32"/>
          <w:szCs w:val="32"/>
        </w:rPr>
        <w:t xml:space="preserve">9. Evaluation Criteria Alignment</w:t>
      </w:r>
    </w:p>
    <w:p>
      <w:pPr>
        <w:spacing w:after="100" w:before="280"/>
      </w:pPr>
      <w:r>
        <w:rPr>
          <w:rFonts w:ascii="Arial" w:cs="Arial" w:eastAsia="Arial" w:hAnsi="Arial"/>
          <w:b/>
          <w:bCs/>
          <w:color w:val="154360"/>
          <w:sz w:val="26"/>
          <w:szCs w:val="26"/>
        </w:rPr>
        <w:t xml:space="preserve">Solution Fit — Relevance (30%)</w:t>
      </w:r>
    </w:p>
    <w:p>
      <w:pPr>
        <w:spacing w:after="80" w:before="80" w:line="276"/>
        <w:jc w:val="both"/>
      </w:pPr>
      <w:r>
        <w:rPr>
          <w:rFonts w:ascii="Arial" w:cs="Arial" w:eastAsia="Arial" w:hAnsi="Arial"/>
          <w:color w:val="2C3E50"/>
          <w:sz w:val="21"/>
          <w:szCs w:val="21"/>
        </w:rPr>
        <w:t xml:space="preserve">ClinEdOps directly addresses every pain point identified in the challenge brief. The nine core modules map one-to-one to the solution criteria specified by NUH: student and tutor lifecycle management, teaching hours tracking with approval workflows, configurable survey templates with batched dispatch, structured feedback collection with automated reminders and low-score flagging, notifications for pending and incomplete tasks, batch upload with anomaly detection, role-based access control with approval hierarchies, real-time dashboards and reporting, audit trail maintenance, data exportability, and integration readiness with existing hospital systems.</w:t>
      </w:r>
    </w:p>
    <w:p>
      <w:pPr>
        <w:spacing w:after="100" w:before="280"/>
      </w:pPr>
      <w:r>
        <w:rPr>
          <w:rFonts w:ascii="Arial" w:cs="Arial" w:eastAsia="Arial" w:hAnsi="Arial"/>
          <w:b/>
          <w:bCs/>
          <w:color w:val="154360"/>
          <w:sz w:val="26"/>
          <w:szCs w:val="26"/>
        </w:rPr>
        <w:t xml:space="preserve">Solution Readiness — Maturity (15%)</w:t>
      </w:r>
    </w:p>
    <w:p>
      <w:pPr>
        <w:spacing w:after="80" w:before="80" w:line="276"/>
        <w:jc w:val="both"/>
      </w:pPr>
      <w:r>
        <w:rPr>
          <w:rFonts w:ascii="Arial" w:cs="Arial" w:eastAsia="Arial" w:hAnsi="Arial"/>
          <w:color w:val="2C3E50"/>
          <w:sz w:val="21"/>
          <w:szCs w:val="21"/>
        </w:rPr>
        <w:t xml:space="preserve">ClinEdOps is built on React + FastAPI + PostgreSQL + Docker — a proven, production-grade stack with extensive industry adoption. The prototype is fully functional and demoable today, demonstrating a level of maturity that goes well beyond concept or wireframe stage.</w:t>
      </w:r>
    </w:p>
    <w:p>
      <w:pPr>
        <w:spacing w:after="100" w:before="280"/>
      </w:pPr>
      <w:r>
        <w:rPr>
          <w:rFonts w:ascii="Arial" w:cs="Arial" w:eastAsia="Arial" w:hAnsi="Arial"/>
          <w:b/>
          <w:bCs/>
          <w:color w:val="154360"/>
          <w:sz w:val="26"/>
          <w:szCs w:val="26"/>
        </w:rPr>
        <w:t xml:space="preserve">Solution Readiness — Scalability (15%)</w:t>
      </w:r>
    </w:p>
    <w:p>
      <w:pPr>
        <w:spacing w:after="80" w:before="80" w:line="276"/>
        <w:jc w:val="both"/>
      </w:pPr>
      <w:r>
        <w:rPr>
          <w:rFonts w:ascii="Arial" w:cs="Arial" w:eastAsia="Arial" w:hAnsi="Arial"/>
          <w:color w:val="2C3E50"/>
          <w:sz w:val="21"/>
          <w:szCs w:val="21"/>
        </w:rPr>
        <w:t xml:space="preserve">The architecture is explicitly designed for scale. ECS Fargate provides serverless auto-scaling. RDS PostgreSQL with read replicas handles reporting load independently from transactional queries. Redis caching accelerates frequently accessed data. The multi-tenant-ready schema supports expansion to additional NUHS-affiliated institutions post-POC.</w:t>
      </w:r>
    </w:p>
    <w:p>
      <w:pPr>
        <w:spacing w:after="100" w:before="280"/>
      </w:pPr>
      <w:r>
        <w:rPr>
          <w:rFonts w:ascii="Arial" w:cs="Arial" w:eastAsia="Arial" w:hAnsi="Arial"/>
          <w:b/>
          <w:bCs/>
          <w:color w:val="154360"/>
          <w:sz w:val="26"/>
          <w:szCs w:val="26"/>
        </w:rPr>
        <w:t xml:space="preserve">Solution Advantage — Quality of Innovation (20%)</w:t>
      </w:r>
    </w:p>
    <w:p>
      <w:pPr>
        <w:spacing w:after="80" w:before="80" w:line="276"/>
        <w:jc w:val="both"/>
      </w:pPr>
      <w:r>
        <w:rPr>
          <w:rFonts w:ascii="Arial" w:cs="Arial" w:eastAsia="Arial" w:hAnsi="Arial"/>
          <w:color w:val="2C3E50"/>
          <w:sz w:val="21"/>
          <w:szCs w:val="21"/>
        </w:rPr>
        <w:t xml:space="preserve">ClinEdOps introduces several innovations: the batched survey engine that eliminates survey fatigue by design, automated anomaly detection on teaching hours, a fully configurable platform that adapts without custom coding, and an ML-ready feedback analytics pipeline. These represent a fundamentally different approach to clinical education operations.</w:t>
      </w:r>
    </w:p>
    <w:p>
      <w:pPr>
        <w:spacing w:after="100" w:before="280"/>
      </w:pPr>
      <w:r>
        <w:rPr>
          <w:rFonts w:ascii="Arial" w:cs="Arial" w:eastAsia="Arial" w:hAnsi="Arial"/>
          <w:b/>
          <w:bCs/>
          <w:color w:val="154360"/>
          <w:sz w:val="26"/>
          <w:szCs w:val="26"/>
        </w:rPr>
        <w:t xml:space="preserve">Company Profile — Business Traction (10%)</w:t>
      </w:r>
    </w:p>
    <w:p>
      <w:pPr>
        <w:spacing w:after="80" w:before="80" w:line="276"/>
        <w:jc w:val="both"/>
      </w:pPr>
      <w:r>
        <w:rPr>
          <w:rFonts w:ascii="Arial" w:cs="Arial" w:eastAsia="Arial" w:hAnsi="Arial"/>
          <w:color w:val="2C3E50"/>
          <w:sz w:val="21"/>
          <w:szCs w:val="21"/>
        </w:rPr>
        <w:t xml:space="preserve">SlashLLM has delivered production software across healthcare, compliance, fintech, and enterprise — demonstrating both breadth and depth of delivery capability. Our Singapore-based DevOps engagement provides direct operational context in the local technology ecosystem.</w:t>
      </w:r>
    </w:p>
    <w:p>
      <w:pPr>
        <w:spacing w:after="100" w:before="280"/>
      </w:pPr>
      <w:r>
        <w:rPr>
          <w:rFonts w:ascii="Arial" w:cs="Arial" w:eastAsia="Arial" w:hAnsi="Arial"/>
          <w:b/>
          <w:bCs/>
          <w:color w:val="154360"/>
          <w:sz w:val="26"/>
          <w:szCs w:val="26"/>
        </w:rPr>
        <w:t xml:space="preserve">Company Profile — Team Experience (10%)</w:t>
      </w:r>
    </w:p>
    <w:p>
      <w:pPr>
        <w:spacing w:after="80" w:before="80" w:line="276"/>
        <w:jc w:val="both"/>
      </w:pPr>
      <w:r>
        <w:rPr>
          <w:rFonts w:ascii="Arial" w:cs="Arial" w:eastAsia="Arial" w:hAnsi="Arial"/>
          <w:color w:val="2C3E50"/>
          <w:sz w:val="21"/>
          <w:szCs w:val="21"/>
        </w:rPr>
        <w:t xml:space="preserve">Our six-person team covers the complete delivery lifecycle: architecture, engineering, project management, quality assurance, and DevOps — a combination of experiences that maps directly to the ClinEdOps challenge requirements.</w:t>
      </w:r>
    </w:p>
    <w:p>
      <w:r>
        <w:br w:type="page"/>
      </w:r>
    </w:p>
    <w:p>
      <w:pPr>
        <w:pBdr>
          <w:bottom w:val="single" w:color="2E86C1" w:sz="6" w:space="8"/>
        </w:pBdr>
        <w:spacing w:after="60" w:before="360"/>
      </w:pPr>
      <w:r>
        <w:rPr>
          <w:rFonts w:ascii="Arial" w:cs="Arial" w:eastAsia="Arial" w:hAnsi="Arial"/>
          <w:b/>
          <w:bCs/>
          <w:color w:val="1B4F72"/>
          <w:sz w:val="32"/>
          <w:szCs w:val="32"/>
        </w:rPr>
        <w:t xml:space="preserve">10. Demo Availability</w:t>
      </w:r>
    </w:p>
    <w:p>
      <w:pPr>
        <w:spacing w:after="80" w:before="80" w:line="276"/>
        <w:jc w:val="both"/>
      </w:pPr>
      <w:r>
        <w:rPr>
          <w:rFonts w:ascii="Arial" w:cs="Arial" w:eastAsia="Arial" w:hAnsi="Arial"/>
          <w:color w:val="2C3E50"/>
          <w:sz w:val="21"/>
          <w:szCs w:val="21"/>
        </w:rPr>
        <w:t xml:space="preserve">The ClinEdOps prototype is ready for live demonstration. The demo covers the following end-to-end workflows:</w:t>
      </w:r>
    </w:p>
    <w:p>
      <w:pPr>
        <w:pStyle w:val="ListParagraph"/>
        <w:numPr>
          <w:ilvl w:val="0"/>
          <w:numId w:val="3"/>
        </w:numPr>
        <w:spacing w:after="40" w:before="40" w:line="276"/>
      </w:pPr>
      <w:r>
        <w:rPr>
          <w:rFonts w:ascii="Arial" w:cs="Arial" w:eastAsia="Arial" w:hAnsi="Arial"/>
          <w:b/>
          <w:bCs/>
          <w:color w:val="2C3E50"/>
          <w:sz w:val="21"/>
          <w:szCs w:val="21"/>
        </w:rPr>
        <w:t xml:space="preserve">Role-based login</w:t>
      </w:r>
      <w:r>
        <w:rPr>
          <w:rFonts w:ascii="Arial" w:cs="Arial" w:eastAsia="Arial" w:hAnsi="Arial"/>
          <w:color w:val="2C3E50"/>
          <w:sz w:val="21"/>
          <w:szCs w:val="21"/>
        </w:rPr>
        <w:t xml:space="preserve"> — Demonstrating Admin, Supervisor, Tutor, and Student experiences</w:t>
      </w:r>
    </w:p>
    <w:p>
      <w:pPr>
        <w:pStyle w:val="ListParagraph"/>
        <w:numPr>
          <w:ilvl w:val="0"/>
          <w:numId w:val="3"/>
        </w:numPr>
        <w:spacing w:after="40" w:before="40" w:line="276"/>
      </w:pPr>
      <w:r>
        <w:rPr>
          <w:rFonts w:ascii="Arial" w:cs="Arial" w:eastAsia="Arial" w:hAnsi="Arial"/>
          <w:b/>
          <w:bCs/>
          <w:color w:val="2C3E50"/>
          <w:sz w:val="21"/>
          <w:szCs w:val="21"/>
        </w:rPr>
        <w:t xml:space="preserve">Student &amp; tutor management</w:t>
      </w:r>
      <w:r>
        <w:rPr>
          <w:rFonts w:ascii="Arial" w:cs="Arial" w:eastAsia="Arial" w:hAnsi="Arial"/>
          <w:color w:val="2C3E50"/>
          <w:sz w:val="21"/>
          <w:szCs w:val="21"/>
        </w:rPr>
        <w:t xml:space="preserve"> — Creating records, batch importing, viewing profiles and histories</w:t>
      </w:r>
    </w:p>
    <w:p>
      <w:pPr>
        <w:pStyle w:val="ListParagraph"/>
        <w:numPr>
          <w:ilvl w:val="0"/>
          <w:numId w:val="3"/>
        </w:numPr>
        <w:spacing w:after="40" w:before="40" w:line="276"/>
      </w:pPr>
      <w:r>
        <w:rPr>
          <w:rFonts w:ascii="Arial" w:cs="Arial" w:eastAsia="Arial" w:hAnsi="Arial"/>
          <w:b/>
          <w:bCs/>
          <w:color w:val="2C3E50"/>
          <w:sz w:val="21"/>
          <w:szCs w:val="21"/>
        </w:rPr>
        <w:t xml:space="preserve">Posting lifecycle</w:t>
      </w:r>
      <w:r>
        <w:rPr>
          <w:rFonts w:ascii="Arial" w:cs="Arial" w:eastAsia="Arial" w:hAnsi="Arial"/>
          <w:color w:val="2C3E50"/>
          <w:sz w:val="21"/>
          <w:szCs w:val="21"/>
        </w:rPr>
        <w:t xml:space="preserve"> — Creating postings, assigning students and tutors, tracking status</w:t>
      </w:r>
    </w:p>
    <w:p>
      <w:pPr>
        <w:pStyle w:val="ListParagraph"/>
        <w:numPr>
          <w:ilvl w:val="0"/>
          <w:numId w:val="3"/>
        </w:numPr>
        <w:spacing w:after="40" w:before="40" w:line="276"/>
      </w:pPr>
      <w:r>
        <w:rPr>
          <w:rFonts w:ascii="Arial" w:cs="Arial" w:eastAsia="Arial" w:hAnsi="Arial"/>
          <w:b/>
          <w:bCs/>
          <w:color w:val="2C3E50"/>
          <w:sz w:val="21"/>
          <w:szCs w:val="21"/>
        </w:rPr>
        <w:t xml:space="preserve">Teaching hour logging &amp; approval</w:t>
      </w:r>
      <w:r>
        <w:rPr>
          <w:rFonts w:ascii="Arial" w:cs="Arial" w:eastAsia="Arial" w:hAnsi="Arial"/>
          <w:color w:val="2C3E50"/>
          <w:sz w:val="21"/>
          <w:szCs w:val="21"/>
        </w:rPr>
        <w:t xml:space="preserve"> — Full workflow from tutor logging to admin approval with anomaly flags</w:t>
      </w:r>
    </w:p>
    <w:p>
      <w:pPr>
        <w:pStyle w:val="ListParagraph"/>
        <w:numPr>
          <w:ilvl w:val="0"/>
          <w:numId w:val="3"/>
        </w:numPr>
        <w:spacing w:after="40" w:before="40" w:line="276"/>
      </w:pPr>
      <w:r>
        <w:rPr>
          <w:rFonts w:ascii="Arial" w:cs="Arial" w:eastAsia="Arial" w:hAnsi="Arial"/>
          <w:b/>
          <w:bCs/>
          <w:color w:val="2C3E50"/>
          <w:sz w:val="21"/>
          <w:szCs w:val="21"/>
        </w:rPr>
        <w:t xml:space="preserve">Survey creation &amp; feedback</w:t>
      </w:r>
      <w:r>
        <w:rPr>
          <w:rFonts w:ascii="Arial" w:cs="Arial" w:eastAsia="Arial" w:hAnsi="Arial"/>
          <w:color w:val="2C3E50"/>
          <w:sz w:val="21"/>
          <w:szCs w:val="21"/>
        </w:rPr>
        <w:t xml:space="preserve"> — Building templates, dispatching batched surveys, low-score flagging</w:t>
      </w:r>
    </w:p>
    <w:p>
      <w:pPr>
        <w:pStyle w:val="ListParagraph"/>
        <w:numPr>
          <w:ilvl w:val="0"/>
          <w:numId w:val="3"/>
        </w:numPr>
        <w:spacing w:after="40" w:before="40" w:line="276"/>
      </w:pPr>
      <w:r>
        <w:rPr>
          <w:rFonts w:ascii="Arial" w:cs="Arial" w:eastAsia="Arial" w:hAnsi="Arial"/>
          <w:b/>
          <w:bCs/>
          <w:color w:val="2C3E50"/>
          <w:sz w:val="21"/>
          <w:szCs w:val="21"/>
        </w:rPr>
        <w:t xml:space="preserve">Dashboard &amp; reporting</w:t>
      </w:r>
      <w:r>
        <w:rPr>
          <w:rFonts w:ascii="Arial" w:cs="Arial" w:eastAsia="Arial" w:hAnsi="Arial"/>
          <w:color w:val="2C3E50"/>
          <w:sz w:val="21"/>
          <w:szCs w:val="21"/>
        </w:rPr>
        <w:t xml:space="preserve"> — Real-time KPI dashboards, one-click report generation with export</w:t>
      </w:r>
    </w:p>
    <w:p>
      <w:pPr>
        <w:pStyle w:val="ListParagraph"/>
        <w:numPr>
          <w:ilvl w:val="0"/>
          <w:numId w:val="3"/>
        </w:numPr>
        <w:spacing w:after="40" w:before="40" w:line="276"/>
      </w:pPr>
      <w:r>
        <w:rPr>
          <w:rFonts w:ascii="Arial" w:cs="Arial" w:eastAsia="Arial" w:hAnsi="Arial"/>
          <w:b/>
          <w:bCs/>
          <w:color w:val="2C3E50"/>
          <w:sz w:val="21"/>
          <w:szCs w:val="21"/>
        </w:rPr>
        <w:t xml:space="preserve">Audit trail</w:t>
      </w:r>
      <w:r>
        <w:rPr>
          <w:rFonts w:ascii="Arial" w:cs="Arial" w:eastAsia="Arial" w:hAnsi="Arial"/>
          <w:color w:val="2C3E50"/>
          <w:sz w:val="21"/>
          <w:szCs w:val="21"/>
        </w:rPr>
        <w:t xml:space="preserve"> — Viewing the immutable log of all system actions</w:t>
      </w:r>
    </w:p>
    <w:p>
      <w:pPr>
        <w:pStyle w:val="ListParagraph"/>
        <w:numPr>
          <w:ilvl w:val="0"/>
          <w:numId w:val="3"/>
        </w:numPr>
        <w:spacing w:after="40" w:before="40" w:line="276"/>
      </w:pPr>
      <w:r>
        <w:rPr>
          <w:rFonts w:ascii="Arial" w:cs="Arial" w:eastAsia="Arial" w:hAnsi="Arial"/>
          <w:b/>
          <w:bCs/>
          <w:color w:val="2C3E50"/>
          <w:sz w:val="21"/>
          <w:szCs w:val="21"/>
        </w:rPr>
        <w:t xml:space="preserve">Notification system</w:t>
      </w:r>
      <w:r>
        <w:rPr>
          <w:rFonts w:ascii="Arial" w:cs="Arial" w:eastAsia="Arial" w:hAnsi="Arial"/>
          <w:color w:val="2C3E50"/>
          <w:sz w:val="21"/>
          <w:szCs w:val="21"/>
        </w:rPr>
        <w:t xml:space="preserve"> — In-app alerts for pending approvals, incomplete surveys, and flagged items</w:t>
      </w:r>
    </w:p>
    <w:p>
      <w:pPr>
        <w:spacing w:after="0" w:before="100"/>
      </w:pPr>
    </w:p>
    <w:p>
      <w:pPr>
        <w:spacing w:after="80" w:before="80" w:line="276"/>
        <w:jc w:val="both"/>
      </w:pPr>
      <w:r>
        <w:rPr>
          <w:rFonts w:ascii="Arial" w:cs="Arial" w:eastAsia="Arial" w:hAnsi="Arial"/>
          <w:color w:val="2C3E50"/>
          <w:sz w:val="21"/>
          <w:szCs w:val="21"/>
        </w:rPr>
        <w:t xml:space="preserve">We welcome the opportunity to demonstrate the platform to the evaluation panel at NUH’s convenience.</w:t>
      </w:r>
    </w:p>
    <w:p>
      <w:r>
        <w:br w:type="page"/>
      </w:r>
    </w:p>
    <w:p>
      <w:pPr>
        <w:pBdr>
          <w:bottom w:val="single" w:color="2E86C1" w:sz="6" w:space="8"/>
        </w:pBdr>
        <w:spacing w:after="60" w:before="360"/>
      </w:pPr>
      <w:r>
        <w:rPr>
          <w:rFonts w:ascii="Arial" w:cs="Arial" w:eastAsia="Arial" w:hAnsi="Arial"/>
          <w:b/>
          <w:bCs/>
          <w:color w:val="1B4F72"/>
          <w:sz w:val="32"/>
          <w:szCs w:val="32"/>
        </w:rPr>
        <w:t xml:space="preserve">11. Conclusion</w:t>
      </w:r>
    </w:p>
    <w:p>
      <w:pPr>
        <w:spacing w:after="80" w:before="80" w:line="276"/>
        <w:jc w:val="both"/>
      </w:pPr>
      <w:r>
        <w:rPr>
          <w:rFonts w:ascii="Arial" w:cs="Arial" w:eastAsia="Arial" w:hAnsi="Arial"/>
          <w:color w:val="2C3E50"/>
          <w:sz w:val="21"/>
          <w:szCs w:val="21"/>
        </w:rPr>
        <w:t xml:space="preserve">ClinEdOps is a purpose-built answer to NUH’s challenge of unifying clinical education operations. It is not a generic tool being repurposed — it was designed from the ground up to address the specific pain points, workflows, user personas, and success metrics outlined in the challenge brief.</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4"/>
              <w:bottom w:val="single" w:color="2E86C1" w:sz="4"/>
              <w:right w:val="single" w:color="2E86C1" w:sz="4"/>
            </w:tcBorders>
            <w:shd w:fill="D6EAF8" w:val="clear"/>
            <w:tcMar>
              <w:top w:type="dxa" w:w="140"/>
              <w:left w:type="dxa" w:w="200"/>
              <w:bottom w:type="dxa" w:w="140"/>
              <w:right w:type="dxa" w:w="200"/>
            </w:tcMar>
          </w:tcPr>
          <w:p>
            <w:pPr>
              <w:spacing w:after="60" w:before="0"/>
            </w:pPr>
            <w:r>
              <w:rPr>
                <w:rFonts w:ascii="Arial" w:cs="Arial" w:eastAsia="Arial" w:hAnsi="Arial"/>
                <w:b/>
                <w:bCs/>
                <w:color w:val="1B4F72"/>
                <w:sz w:val="22"/>
                <w:szCs w:val="22"/>
              </w:rPr>
              <w:t xml:space="preserve">What we bring to this challenge is simple:</w:t>
            </w:r>
          </w:p>
          <w:p>
            <w:pPr>
              <w:spacing w:after="0" w:before="0" w:line="276"/>
            </w:pPr>
            <w:r>
              <w:rPr>
                <w:rFonts w:ascii="Arial" w:cs="Arial" w:eastAsia="Arial" w:hAnsi="Arial"/>
                <w:color w:val="154360"/>
                <w:sz w:val="21"/>
                <w:szCs w:val="21"/>
              </w:rPr>
              <w:t xml:space="preserve">A working product, a proven team, and a clear path from prototype to production.</w:t>
            </w:r>
          </w:p>
        </w:tc>
      </w:tr>
    </w:tbl>
    <w:p>
      <w:pPr>
        <w:spacing w:after="0" w:before="100"/>
      </w:pPr>
    </w:p>
    <w:p>
      <w:pPr>
        <w:spacing w:after="80" w:before="80" w:line="276"/>
        <w:jc w:val="both"/>
      </w:pPr>
      <w:r>
        <w:rPr>
          <w:rFonts w:ascii="Arial" w:cs="Arial" w:eastAsia="Arial" w:hAnsi="Arial"/>
          <w:color w:val="2C3E50"/>
          <w:sz w:val="21"/>
          <w:szCs w:val="21"/>
        </w:rPr>
        <w:t xml:space="preserve">The platform is built. The demo is ready. We are ready to partner with NUH to transform clinical education operations.</w:t>
      </w:r>
    </w:p>
    <w:p>
      <w:pPr>
        <w:spacing w:after="0" w:before="400"/>
      </w:pPr>
    </w:p>
    <w:p>
      <w:pPr>
        <w:pBdr>
          <w:top w:val="single" w:color="2E86C1" w:sz="4" w:space="8"/>
        </w:pBdr>
        <w:spacing w:after="40" w:before="200"/>
        <w:jc w:val="center"/>
      </w:pPr>
      <w:r>
        <w:rPr>
          <w:rFonts w:ascii="Arial" w:cs="Arial" w:eastAsia="Arial" w:hAnsi="Arial"/>
          <w:i/>
          <w:iCs/>
          <w:color w:val="BDC3C7"/>
          <w:sz w:val="18"/>
          <w:szCs w:val="18"/>
        </w:rPr>
        <w:t xml:space="preserve">Submitted by SlashLLM for the IMDA Open Innovation Platform — Call 28, March 2026</w:t>
      </w:r>
    </w:p>
    <w:p>
      <w:pPr>
        <w:spacing w:after="40" w:before="0"/>
        <w:jc w:val="center"/>
      </w:pPr>
      <w:r>
        <w:rPr>
          <w:rFonts w:ascii="Arial" w:cs="Arial" w:eastAsia="Arial" w:hAnsi="Arial"/>
          <w:i/>
          <w:iCs/>
          <w:color w:val="BDC3C7"/>
          <w:sz w:val="18"/>
          <w:szCs w:val="18"/>
        </w:rPr>
        <w:t xml:space="preserve">Challenge: Enabling Unified Clinical Education Operations Through an Integrated Digital Platform</w:t>
      </w:r>
    </w:p>
    <w:p>
      <w:pPr>
        <w:spacing w:after="0" w:before="0"/>
        <w:jc w:val="center"/>
      </w:pPr>
      <w:r>
        <w:rPr>
          <w:rFonts w:ascii="Arial" w:cs="Arial" w:eastAsia="Arial" w:hAnsi="Arial"/>
          <w:i/>
          <w:iCs/>
          <w:color w:val="BDC3C7"/>
          <w:sz w:val="18"/>
          <w:szCs w:val="18"/>
        </w:rPr>
        <w:t xml:space="preserve">Challenge Owner: National University Hospital (NUH) — Medical Affairs (Education)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6"/>
      </w:pBdr>
      <w:jc w:val="center"/>
    </w:pPr>
    <w:r>
      <w:rPr>
        <w:rFonts w:ascii="Arial" w:cs="Arial" w:eastAsia="Arial" w:hAnsi="Arial"/>
        <w:color w:val="BDC3C7"/>
        <w:sz w:val="16"/>
        <w:szCs w:val="16"/>
      </w:rPr>
      <w:t xml:space="preserve">CONFIDENTIAL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tabs>
        <w:tab w:val="right" w:pos="9026"/>
      </w:tabs>
      <w:spacing w:after="0"/>
    </w:pPr>
    <w:r>
      <w:rPr>
        <w:rFonts w:ascii="Arial" w:cs="Arial" w:eastAsia="Arial" w:hAnsi="Arial"/>
        <w:color w:val="2E86C1"/>
        <w:sz w:val="16"/>
        <w:szCs w:val="16"/>
      </w:rPr>
      <w:t xml:space="preserve">ClinEdOps Solution Proposal</w:t>
    </w:r>
    <w:r>
      <w:rPr>
        <w:rFonts w:ascii="Arial" w:cs="Arial" w:eastAsia="Arial" w:hAnsi="Arial"/>
        <w:color w:val="BDC3C7"/>
        <w:sz w:val="16"/>
        <w:szCs w:val="16"/>
      </w:rPr>
      <w:t xml:space="preserve">	SlashLLM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543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2026-04-11T16:06:55.704Z</dcterms:created>
  <dcterms:modified xsi:type="dcterms:W3CDTF">2026-04-11T16:06:55.705Z</dcterms:modified>
</cp:coreProperties>
</file>

<file path=docProps/custom.xml><?xml version="1.0" encoding="utf-8"?>
<Properties xmlns="http://schemas.openxmlformats.org/officeDocument/2006/custom-properties" xmlns:vt="http://schemas.openxmlformats.org/officeDocument/2006/docPropsVTypes"/>
</file>