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VERA-SE: Verification-Guided Autonomous Software Repair with Risk-Aware Patch Selection</w:t>
      </w:r>
    </w:p>
    <w:p>
      <w:pPr>
        <w:jc w:val="center"/>
      </w:pPr>
      <w:r>
        <w:rPr>
          <w:b/>
        </w:rPr>
        <w:t>Mridula Prabhakar</w:t>
      </w:r>
    </w:p>
    <w:p>
      <w:pPr>
        <w:pStyle w:val="Heading1"/>
      </w:pPr>
      <w:r>
        <w:t>Abstract</w:t>
      </w:r>
    </w:p>
    <w:p>
      <w:r>
        <w:t>Large language models can generate plausible software patches from natural-language bug descriptions and localized source-code context, but deciding whether a generated patch is correct remains challenging. Passing available tests alone may be insufficient because test suites can be incomplete, and syntactically valid patches can introduce behavioral regressions or unrelated changes. This paper presents VERA-SE, a verification-guided autonomous software repair framework that combines LLM-based candidate generation with structural analysis, behavioral preservation checks, change-risk estimation, and verification-aware patch selection.</w:t>
      </w:r>
    </w:p>
    <w:p>
      <w:r>
        <w:t>VERA-SE evaluates multiple candidate repairs rather than accepting the first patch that passes visible tests. Candidates are assessed for syntactic validity, target modification, repair-scope preservation, structural consistency, behavioral properties when available, and change risk before an acceptance decision is made. We evaluate the approach in two settings. First, a controlled benchmark containing six repair tasks and 240 candidate instances compares visible-test-only acceptance, visible-plus-hidden-test acceptance, and VERA-SE. Visible-test-only acceptance produced a false-acceptance rate of 74.7%, while adding hidden tests reduced it to 27.6%. VERA-SE reduced the false-acceptance rate to 0%, with one false rejection among 153 oracle-correct candidates. Ablation analysis indicates that behavioral preservation checks account for most of this reduction; structural checks provide limited additional false-acceptance benefit and contribute one false rejection.</w:t>
      </w:r>
    </w:p>
    <w:p>
      <w:r>
        <w:t>Second, we conduct a real-world pilot on ten localized defects from the Black project in BugsInPy. Across 40 requested repair generations, the system produced 28 valid candidate instances, of which only one satisfied the held-out correctness oracle. In this setting, both the visible-test baseline and VERA-SE produced one false acceptance, while VERA-SE additionally rejected the sole oracle-correct candidate. The results suggest that verification-guided repair can improve reliability when verification signals capture meaningful behavioral constraints, while exposing a transfer gap when generic structural and risk signals are used on real-world defects. This motivates stronger automated semantic verification for reliable LLM-based program repair.</w:t>
      </w:r>
    </w:p>
    <w:p>
      <w:r>
        <w:t>Keywords—automated program repair; large language models; patch validation; behavioral verification; patch overfitting; risk-aware selection.</w:t>
      </w:r>
    </w:p>
    <w:p>
      <w:pPr>
        <w:pStyle w:val="Heading1"/>
      </w:pPr>
      <w:r>
        <w:t>1. Introduction</w:t>
      </w:r>
    </w:p>
    <w:p>
      <w:r>
        <w:t>Large language models have become capable of generating, modifying, and repairing source code. Given a bug report, failing test, or localized code fragment, code-oriented models can produce patches that are syntactically plausible and appear consistent with surrounding program context. These capabilities have motivated autonomous software repair systems in which an AI model receives a faulty region, proposes modifications, and applies a patch with limited human intervention.</w:t>
      </w:r>
    </w:p>
    <w:p>
      <w:r>
        <w:t>However, generating a plausible patch is not equivalent to generating a correct patch. A candidate may compile and pass the tests visible to the repair system while violating untested behavior, changing unrelated functionality, or implementing an overly broad approximation of the intended fix. This distinction matters for LLM-based repair because a fluent code suggestion is not a semantic guarantee. Autonomous repair therefore requires both a generation mechanism and a principled way to assess which candidates should be trusted.</w:t>
      </w:r>
    </w:p>
    <w:p>
      <w:r>
        <w:t>Test-suite-driven automated program repair commonly uses successful execution of available tests as its principal validation criterion [1], [6]. Although tests offer executable evidence, they rarely represent complete specifications. A patch may consequently be plausible under the observed test cases but incorrect elsewhere. The literature characterizes this as patch overfitting [6], [7]. An LLM may generate several distinct repairs for one failure, some of which modify too much code, remove logic, or address only the triggering example. Visible-test success alone may not distinguish these candidates.</w:t>
      </w:r>
    </w:p>
    <w:p>
      <w:r>
        <w:t>This work investigates whether verification-guided candidate selection can reduce false acceptance. We introduce VERA-SE, a verification-guided autonomous software repair framework with risk-aware patch selection. Generation and validation are separate stages: a local code-oriented LLM proposes multiple localized candidates, and a dedicated verifier evaluates their syntax, target modification, repair-scope preservation, structural changes, behavioral checks when available, and change risk. The framework uses this evidence in its acceptance and selection decisions.</w:t>
      </w:r>
    </w:p>
    <w:p>
      <w:r>
        <w:t>The central principle is that patch plausibility should not be determined solely by tests visible during repair. Independent evidence concerning program behavior, structural locality, and unnecessary modification may add value. At the same time, these signals are not interchangeable: a small or structurally localized patch is not necessarily semantically correct.</w:t>
      </w:r>
    </w:p>
    <w:p>
      <w:r>
        <w:t>We first study this hypothesis in a controlled benchmark with six repair tasks and 240 candidate instances. Three strategies are compared: visible tests alone, visible plus hidden tests, and VERA-SE. Of 153 correct and 87 incorrect candidates, visible-only acceptance accepts all 153 correct candidates but also 65 incorrect candidates, for a false-acceptance rate of 74.7%. Visible-plus-hidden testing accepts all correct candidates and 24 incorrect candidates, reducing false acceptance to 27.6%. VERA-SE accepts 152 correct candidates and no incorrect candidates, producing 0% false acceptance and approximately 0.7% false rejection. In the ablation analysis, behavioral preservation is the principal source of the reduction in false acceptance; structural checking does not contribute an equivalent improvement.</w:t>
      </w:r>
    </w:p>
    <w:p>
      <w:r>
        <w:t>Controlled tasks make relevant behavioral properties easier to specify and may overstate transfer to realistic repositories. We therefore conduct a pilot using ten localized BugsInPy defects from the Black project. The held-out oracle used for evaluation is not exposed to the generator or VERA-SE during candidate selection. Forty candidate generations were requested and 28 syntactically valid candidate instances were produced, corresponding to 27 unique patch contents. Only one candidate satisfied the held-out oracle. The visible-test baseline accepted that candidate and one incorrect candidate, whereas VERA-SE accepted the incorrect candidate and rejected the correct one.</w:t>
      </w:r>
    </w:p>
    <w:p>
      <w:r>
        <w:t>This contrast is an important result. The controlled experiment shows that verification can substantially reduce false acceptance when checks align with intended behavior. The real-world pilot shows that generic structural and change-risk evidence alone may be insufficient to distinguish semantically correct repairs. The challenge is therefore not simply to add filters, but to derive more informative properties about real program behavior.</w:t>
      </w:r>
    </w:p>
    <w:p>
      <w:r>
        <w:t>This paper makes four contributions. First, it presents a modular generate-and-verify pipeline for multiple LLM-generated repair candidates. Second, it compares three acceptance strategies on a controlled benchmark and analyzes the contribution of individual verification signals. Third, it evaluates the prototype against held-out tests on ten localized defects from one real-world project, documenting both generation failure and incorrect verifier decisions. Fourth, it characterizes a transfer gap between task-specific behavioral verification and generic real-world patch-risk signals, motivating stronger automated semantic properties.</w:t>
      </w:r>
    </w:p>
    <w:p>
      <w:r>
        <w:t>The remainder of the paper describes related work, the VERA-SE architecture and verification model, the controlled and real-world methodologies, the results and ablation findings, the implications of the observed transfer gap, threats to validity, and conclusions.</w:t>
      </w:r>
    </w:p>
    <w:p>
      <w:pPr>
        <w:pStyle w:val="Heading1"/>
      </w:pPr>
      <w:r>
        <w:t>2. Related Work</w:t>
      </w:r>
    </w:p>
    <w:p>
      <w:pPr>
        <w:pStyle w:val="Heading2"/>
      </w:pPr>
      <w:r>
        <w:t>2.1 Automated Program Repair</w:t>
      </w:r>
    </w:p>
    <w:p>
      <w:r>
        <w:t>Automated program repair (APR) aims to reduce the effort needed to correct software defects by automatically generating modifications to faulty programs. Established approaches use tests, program analysis, search, historical fix patterns, and semantic constraints to propose and assess candidate changes.</w:t>
      </w:r>
    </w:p>
    <w:p>
      <w:r>
        <w:t>GenProg, introduced by Le Goues et al. [1], uses genetic programming and existing tests to evolve program variants that address defects without requiring complete formal specifications. This demonstrates the potential of automated repair, but test-based validation depends on the quality and coverage of the test suite.</w:t>
      </w:r>
    </w:p>
    <w:p>
      <w:r>
        <w:t>Getafix, proposed by Bader et al. [2], learns repair patterns from human-written fixes and ranks suggestions using code-change context. Angelix, developed by Mechtaev et al. [3], uses symbolic analysis and semantic constraints to synthesize multi-line patches. These methods illustrate different ways to guide the repair search space using structural or semantic evidence.</w:t>
      </w:r>
    </w:p>
    <w:p>
      <w:r>
        <w:t>VERA-SE builds on the broader generate-and-validate paradigm but concentrates on acceptance and selection after multiple LLM-generated candidates have been produced. Its central question is whether evidence beyond visible-test success reduces the acceptance of incorrect patches.</w:t>
      </w:r>
    </w:p>
    <w:p>
      <w:pPr>
        <w:pStyle w:val="Heading2"/>
      </w:pPr>
      <w:r>
        <w:t>2.2 LLM-Based Software Repair</w:t>
      </w:r>
    </w:p>
    <w:p>
      <w:r>
        <w:t>Large language models enable program repair from natural-language instructions, failing tests, and repository context. Unlike systems limited to predefined transformations, language models can propose a broad range of source-code changes.</w:t>
      </w:r>
    </w:p>
    <w:p>
      <w:r>
        <w:t>SWE-bench, introduced by Jimenez et al. [4], evaluates language models on real GitHub issues that often require reasoning about multiple functions, files, or execution conditions. SWE-agent, introduced by Yang et al. [5], provides an agent-computer interface for repository navigation, code editing, command execution, and testing. These efforts demonstrate the role of environment interaction in autonomous software engineering.</w:t>
      </w:r>
    </w:p>
    <w:p>
      <w:r>
        <w:t>However, code generation and successful test execution do not independently establish semantic correctness. VERA-SE separates generation from verification: a local code-oriented model proposes localized repairs, and a dedicated evaluation pipeline determines whether to accept them. The focus is not only whether the model can propose a plausible fix, but whether verification can distinguish correct and incorrect candidates.</w:t>
      </w:r>
    </w:p>
    <w:p>
      <w:pPr>
        <w:pStyle w:val="Heading2"/>
      </w:pPr>
      <w:r>
        <w:t>2.3 Patch Overfitting and Correctness Assessment</w:t>
      </w:r>
    </w:p>
    <w:p>
      <w:r>
        <w:t>Patch overfitting occurs when a repair passes the tests used during generation while violating behavior not represented by those tests. Smith et al. [6] evaluated automatically generated repairs against independent tests and emphasized the limitations of using the same suite for both repair and correctness assessment.</w:t>
      </w:r>
    </w:p>
    <w:p>
      <w:r>
        <w:t>Ye et al. [7] studied automated patch assessment at scale using random testing with a ground-truth implementation, providing additional behavioral evidence to detect overfitting. Such work underscores the value of independent validation, while also demonstrating that automatic correctness assessment is intrinsically difficult.</w:t>
      </w:r>
    </w:p>
    <w:p>
      <w:r>
        <w:t>These findings motivate the separation between the test information available during generation and the held-out correctness oracle in our real-world pilot. Passing the finite oracle is treated as an operational correctness label for the tested behaviors, not as formal proof that a patch preserves all program semantics.</w:t>
      </w:r>
    </w:p>
    <w:p>
      <w:pPr>
        <w:pStyle w:val="Heading2"/>
      </w:pPr>
      <w:r>
        <w:t>2.4 Verification-Guided and Risk-Aware Repair</w:t>
      </w:r>
    </w:p>
    <w:p>
      <w:r>
        <w:t>Semantics-based approaches such as Angelix [3] use behavioral constraints to narrow the repair space. Independent patch-assessment methods, including ground-truth-based testing [7], can identify failures missed by repair-time tests. These contributions support incorporating evidence beyond visible-test outcomes into repair assessment.</w:t>
      </w:r>
    </w:p>
    <w:p>
      <w:r>
        <w:t>VERA-SE evaluates syntactic validity, target modification, repair-scope preservation, structural changes, available behavioral properties, and change-risk estimates. Behavioral checks address execution properties, whereas structural and risk signals describe the extent and locality of source changes.</w:t>
      </w:r>
    </w:p>
    <w:p>
      <w:r>
        <w:t>These signals should not be treated as equivalent to semantic correctness. A small patch may still implement the wrong behavior, while a correct patch may require a larger change. The controlled ablation study and real-world pilot are designed to expose these differences rather than assume that all verification components contribute equally.</w:t>
      </w:r>
    </w:p>
    <w:p>
      <w:pPr>
        <w:pStyle w:val="Heading2"/>
      </w:pPr>
      <w:r>
        <w:t>2.5 Positioning of VERA-SE</w:t>
      </w:r>
    </w:p>
    <w:p>
      <w:r>
        <w:t>Prior APR work covers search-based generation, learned fix patterns, symbolic synthesis, language-model-driven repository repair, and independent patch assessment. VERA-SE focuses on how verification and change-risk signals affect acceptance and selection among multiple LLM-generated repairs.</w:t>
      </w:r>
    </w:p>
    <w:p>
      <w:r>
        <w:t>Its controlled benchmark tests the value of behaviorally informative checks, while the held-out real-world pilot probes transfer to localized defects in an existing repository. Together, the experiments motivate stronger automated methods for deriving semantic verification properties instead of relying on generic structural risk signals alone.</w:t>
      </w:r>
    </w:p>
    <w:p>
      <w:pPr>
        <w:pStyle w:val="Heading1"/>
      </w:pPr>
      <w:r>
        <w:t>3. VERA-SE Approach and System Architecture</w:t>
      </w:r>
    </w:p>
    <w:p>
      <w:pPr>
        <w:pStyle w:val="Heading2"/>
      </w:pPr>
      <w:r>
        <w:t>3.1 System Overview</w:t>
      </w:r>
    </w:p>
    <w:p>
      <w:r>
        <w:t>VERA-SE is a modular framework for generating and evaluating candidate software repairs. It separates patch generation from patch verification so that a model-proposed modification is not automatically accepted because it is syntactically plausible or passes an available test. A repair task supplies faulty source code, a target repair location, and validation information. The generator proposes multiple candidates; the evaluation pipeline collects independent evidence for each candidate and records an acceptance decision. The controlled-benchmark pipeline comprises candidate generation, test execution, structural analysis, task-specific behavioral verification, change-risk estimation, and patch selection.</w:t>
      </w:r>
    </w:p>
    <w:p>
      <w:r>
        <w:t>If several candidates satisfy all acceptance conditions, the selector returns the accepted candidate with the highest verification score. If none satisfies the conditions, the system abstains from selecting a patch. This distinction separates generation success, test success, verification acceptance, and final selection.</w:t>
      </w:r>
    </w:p>
    <w:p>
      <w:pPr>
        <w:spacing w:before="100" w:after="80"/>
        <w:jc w:val="center"/>
      </w:pPr>
      <w:r>
        <w:drawing>
          <wp:inline xmlns:a="http://schemas.openxmlformats.org/drawingml/2006/main" xmlns:pic="http://schemas.openxmlformats.org/drawingml/2006/picture">
            <wp:extent cx="6080760" cy="4690872"/>
            <wp:docPr id="1" name="Picture 1" descr="Flowchart: repair task to local LLM and candidate preparation, then controlled versus real-world verifier branches, accepted-patch selection or abstention, and evaluation-only held-out oracle."/>
            <wp:cNvGraphicFramePr>
              <a:graphicFrameLocks noChangeAspect="1"/>
            </wp:cNvGraphicFramePr>
            <a:graphic>
              <a:graphicData uri="http://schemas.openxmlformats.org/drawingml/2006/picture">
                <pic:pic>
                  <pic:nvPicPr>
                    <pic:cNvPr id="0" name="VERA_SE_Architecture.png"/>
                    <pic:cNvPicPr/>
                  </pic:nvPicPr>
                  <pic:blipFill>
                    <a:blip r:embed="rId10"/>
                    <a:stretch>
                      <a:fillRect/>
                    </a:stretch>
                  </pic:blipFill>
                  <pic:spPr>
                    <a:xfrm>
                      <a:off x="0" y="0"/>
                      <a:ext cx="6080760" cy="4690872"/>
                    </a:xfrm>
                    <a:prstGeom prst="rect"/>
                  </pic:spPr>
                </pic:pic>
              </a:graphicData>
            </a:graphic>
          </wp:inline>
        </w:drawing>
      </w:r>
    </w:p>
    <w:p>
      <w:pPr>
        <w:pStyle w:val="Caption"/>
        <w:keepNext w:val="0"/>
      </w:pPr>
      <w:r>
        <w:t>Figure 1. VERA-SE architecture, distinguishing the controlled and real-world verifier configurations. The held-out real-world oracle is evaluation-only.</w:t>
      </w:r>
    </w:p>
    <w:p>
      <w:pPr>
        <w:pStyle w:val="Heading2"/>
      </w:pPr>
      <w:r>
        <w:t>3.2 Candidate Generation</w:t>
      </w:r>
    </w:p>
    <w:p>
      <w:r>
        <w:t>The controlled-benchmark generator communicates with a locally hosted code-oriented language model and requests structured candidate information: a candidate identifier, target file path, complete patched Python source, and a short explanation. It skips an empty patch and rejects a response whose file path differs from the requested source file. Usable responses are represented as CandidatePatch objects and passed to the evaluation pipeline. Candidate generation is therefore distinct from candidate acceptance; a returned patch must still satisfy the verifier.</w:t>
      </w:r>
    </w:p>
    <w:p>
      <w:pPr>
        <w:pStyle w:val="Heading2"/>
      </w:pPr>
      <w:r>
        <w:t>3.3 Structural Verification</w:t>
      </w:r>
    </w:p>
    <w:p>
      <w:r>
        <w:t>The structural analyzer uses the Python abstract syntax tree (AST) to parse the original and patched code and extract function definitions, including asynchronous functions. For each function name, it compares the corresponding source spans to identify modified, added, or removed functions. Let Fₒ and Fₚ denote the sets of original and patched function names, and let Sₒ(f) and Sₚ(f) denote the extracted source for function f. The changed-function set is:</w:t>
      </w:r>
    </w:p>
    <w:p>
      <w:pPr>
        <w:spacing w:before="100" w:after="140"/>
        <w:jc w:val="center"/>
      </w:pPr>
      <w:r>
        <w:rPr>
          <w:i/>
        </w:rPr>
        <w:t>ΔF = { f ∈ Fₒ ∪ Fₚ : Sₒ(f) ≠ Sₚ(f) }.</w:t>
      </w:r>
    </w:p>
    <w:p>
      <w:r>
        <w:t>For target function fₜ, unrelated-function changes are U = ΔF \ {fₜ}. The controlled verifier requires a syntactically valid patch, a modification to the designated target function, and no unrelated-function changes. These constraints address repair locality; they do not independently prove semantic correctness.</w:t>
      </w:r>
    </w:p>
    <w:p>
      <w:pPr>
        <w:pStyle w:val="Heading2"/>
      </w:pPr>
      <w:r>
        <w:t>3.4 Behavioral Verification</w:t>
      </w:r>
    </w:p>
    <w:p>
      <w:r>
        <w:t>In the controlled benchmark, task-specific executable probes test properties beyond the visible test cases. Depending on the task, probes cover numerical results, string normalization, input-container preservation, return types, and repeatability. For each candidate, the analyzer writes the patched source and probe program into a temporary directory, runs the probe with a time limit, parses its JSON Boolean outcomes, and counts successful checks. The behavioral score is:</w:t>
      </w:r>
    </w:p>
    <w:p>
      <w:pPr>
        <w:spacing w:before="100" w:after="140"/>
        <w:jc w:val="center"/>
      </w:pPr>
      <w:r>
        <w:rPr>
          <w:i/>
        </w:rPr>
        <w:t>B(p) = Npassed / Ntotal, for Ntotal &gt; 0.</w:t>
      </w:r>
    </w:p>
    <w:p>
      <w:r>
        <w:t>Probe timeout, unsuccessful process exit, or invalid JSON causes a score of zero. The controlled acceptance rule requires every specified behavioral check to pass, B(p) = 1. These probes are manually specified for the six controlled tasks; they should not be described as automatically derived semantic specifications for arbitrary real-world repositories.</w:t>
      </w:r>
    </w:p>
    <w:p>
      <w:pPr>
        <w:pStyle w:val="Heading2"/>
      </w:pPr>
      <w:r>
        <w:t>3.5 Change-Risk Estimation</w:t>
      </w:r>
    </w:p>
    <w:p>
      <w:r>
        <w:t>The verifier calculates the numbers of added and removed source lines from a unified diff. Let Lₐ and Lᵣ be the added and removed line counts, and let Lₒ be the original source line count. Its normalized change-risk proxy is:</w:t>
      </w:r>
    </w:p>
    <w:p>
      <w:pPr>
        <w:spacing w:before="100" w:after="140"/>
        <w:jc w:val="center"/>
      </w:pPr>
      <w:r>
        <w:rPr>
          <w:i/>
        </w:rPr>
        <w:t>R(p) = min(1, (Lₐ + Lᵣ) / max(Lₒ, 1)).</w:t>
      </w:r>
    </w:p>
    <w:p>
      <w:r>
        <w:t>It also applies a penalty for modified functions outside the target:</w:t>
      </w:r>
    </w:p>
    <w:p>
      <w:pPr>
        <w:spacing w:before="100" w:after="140"/>
        <w:jc w:val="center"/>
      </w:pPr>
      <w:r>
        <w:rPr>
          <w:i/>
        </w:rPr>
        <w:t>Pᵤ(p) = min(0.15 × |U|, 0.30).</w:t>
      </w:r>
    </w:p>
    <w:p>
      <w:r>
        <w:t>These quantities measure modification magnitude and locality; R(p) is not a calibrated probability of semantic failure. A small patch may be incorrect, and a correct repair may legitimately require a larger edit.</w:t>
      </w:r>
    </w:p>
    <w:p>
      <w:pPr>
        <w:pStyle w:val="Heading2"/>
      </w:pPr>
      <w:r>
        <w:t>3.6 Verification Score and Acceptance</w:t>
      </w:r>
    </w:p>
    <w:p>
      <w:r>
        <w:t>The controlled verifier combines visible-test pass ratio Tᵥ, hidden-test pass ratio Tₕ, behavioral score B, syntax-validity indicator S, normalized change risk R, and unrelated-function penalty Pᵤ. The score is clamped to the interval [0, 1]:</w:t>
      </w:r>
    </w:p>
    <w:p>
      <w:pPr>
        <w:spacing w:before="100" w:after="140"/>
        <w:jc w:val="center"/>
      </w:pPr>
      <w:r>
        <w:rPr>
          <w:i/>
        </w:rPr>
        <w:t>Q(p) = clamp[0,1](0.25Tᵥ + 0.30Tₕ + 0.25B + 0.10S + 0.10(1 − R) − Pᵤ).</w:t>
      </w:r>
    </w:p>
    <w:p>
      <w:r>
        <w:t>A high score is necessary but not sufficient for acceptance. The controlled implementation additionally requires successful exit codes for both visible and hidden tests, syntax validity, target-function modification, no unrelated-function changes, complete behavioral-probe success, and Q(p) ≥ 0.80:</w:t>
      </w:r>
    </w:p>
    <w:p>
      <w:pPr>
        <w:spacing w:before="100" w:after="140"/>
        <w:jc w:val="center"/>
      </w:pPr>
      <w:r>
        <w:rPr>
          <w:i/>
        </w:rPr>
        <w:t>A(p) = Vpass ∧ Hpass ∧ S ∧ (fₜ ∈ ΔF) ∧ (|U| = 0) ∧ (B = 1) ∧ (Q ≥ 0.80).</w:t>
      </w:r>
    </w:p>
    <w:p>
      <w:r>
        <w:t>This is a conjunction of hard constraints rather than a score-only threshold. The hidden-test input in this controlled configuration is part of the verifier’s validation evidence; the separate held-out correctness oracle used to label real-world candidates must not be conflated with a verifier-accessible hidden test.</w:t>
      </w:r>
    </w:p>
    <w:p>
      <w:pPr>
        <w:pStyle w:val="Heading2"/>
      </w:pPr>
      <w:r>
        <w:t>3.7 Risk-Aware Patch Selection</w:t>
      </w:r>
    </w:p>
    <w:p>
      <w:r>
        <w:t>The selector forms the accepted set Pₐ = {p ∈ P : A(p) = 1}. When Pₐ is nonempty, it returns the accepted patch with maximum score; otherwise it returns no patch:</w:t>
      </w:r>
    </w:p>
    <w:p>
      <w:pPr>
        <w:spacing w:before="100" w:after="140"/>
        <w:jc w:val="center"/>
      </w:pPr>
      <w:r>
        <w:rPr>
          <w:i/>
        </w:rPr>
        <w:t>p* = arg maxₚ∈Pₐ Q(p), if Pₐ ≠ ∅; otherwise abstain.</w:t>
      </w:r>
    </w:p>
    <w:p>
      <w:r>
        <w:t>Consequently, the highest-scoring generated candidate is not necessarily eligible for selection. The score ranks candidates only after they pass the mandatory acceptance checks.</w:t>
      </w:r>
    </w:p>
    <w:p>
      <w:pPr>
        <w:pStyle w:val="Heading2"/>
      </w:pPr>
      <w:r>
        <w:t>3.8 Real-World Repair Configuration</w:t>
      </w:r>
    </w:p>
    <w:p>
      <w:r>
        <w:t>The real-world pilot supports function-level and contiguous-region repairs. The dedicated verifier uses the visible triggering test, Python syntax validity, modification of the designated target, preservation of the authorized repair scope, and a source-diff change-risk heuristic. The manually specified behavioral probes used in the controlled benchmark are not provided to this real-world verifier. The held-out oracle is evaluated only after the verifier has decided whether to accept a candidate.</w:t>
      </w:r>
    </w:p>
    <w:p>
      <w:r>
        <w:t>For function-level repairs, ASTAnalyzer compares function source representations, requires the target function to change, and treats modifications to other named functions as scope violations. For region-level repairs, a line-based sequence comparison requires replacements and deletions to remain within the designated original-code interval, with insertions allowed at its boundaries. Both configurations measure the original target size Ls in lines.</w:t>
      </w:r>
    </w:p>
    <w:p>
      <w:pPr>
        <w:jc w:val="center"/>
      </w:pPr>
      <w:r>
        <w:rPr>
          <w:rFonts w:ascii="Cambria Math" w:hAnsi="Cambria Math"/>
          <w:i/>
          <w:sz w:val="20"/>
        </w:rPr>
        <w:t>Rreal(p) = min(1, (La + Lr) / max(Ls, 1)).</w:t>
      </w:r>
    </w:p>
    <w:p>
      <w:r>
        <w:t>The ranking score uses indicators V, S, P, and T for visible-test success, syntax validity, scope preservation, and target modification, respectively:</w:t>
      </w:r>
    </w:p>
    <w:p>
      <w:pPr>
        <w:jc w:val="center"/>
      </w:pPr>
      <w:r>
        <w:rPr>
          <w:rFonts w:ascii="Cambria Math" w:hAnsi="Cambria Math"/>
          <w:i/>
          <w:sz w:val="20"/>
        </w:rPr>
        <w:t>Qreal(p) = clamp[0,1](0.45V + 0.15S + 0.15P + 0.10T + 0.15(1 − Rreal)).</w:t>
      </w:r>
    </w:p>
    <w:p>
      <w:r>
        <w:t>Acceptance is determined by explicit gates rather than a minimum ranking score:</w:t>
      </w:r>
    </w:p>
    <w:p>
      <w:pPr>
        <w:jc w:val="center"/>
      </w:pPr>
      <w:r>
        <w:rPr>
          <w:rFonts w:ascii="Cambria Math" w:hAnsi="Cambria Math"/>
          <w:i/>
          <w:sz w:val="20"/>
        </w:rPr>
        <w:t>Areal(p) = V ∧ S ∧ P ∧ T ∧ (Rreal(p) ≤ 0.50).</w:t>
      </w:r>
    </w:p>
    <w:p>
      <w:r>
        <w:t>The score ranks or records evidence for candidate patches; it does not override a failed gate. In particular, a candidate can pass the visible test and satisfy the held-out oracle while still being rejected for exceeding the risk threshold. This distinction is central to the Black-9 case study in Section 5.5.</w:t>
      </w:r>
    </w:p>
    <w:p>
      <w:pPr>
        <w:pStyle w:val="Heading1"/>
      </w:pPr>
      <w:r>
        <w:t>4. Experimental Methodology</w:t>
      </w:r>
    </w:p>
    <w:p>
      <w:pPr>
        <w:pStyle w:val="Heading2"/>
      </w:pPr>
      <w:r>
        <w:t>4.1 Research Questions</w:t>
      </w:r>
    </w:p>
    <w:p>
      <w:r>
        <w:t>RQ1: How does verification-guided acceptance compare with visible-test-only and visible-plus-hidden-test acceptance on the controlled tasks? RQ2: Which components account for changes in false acceptance and false rejection? RQ3: How does the prototype behave on localized real-world defects when task-specific behavioral probes are unavailable?</w:t>
      </w:r>
    </w:p>
    <w:p>
      <w:pPr>
        <w:pStyle w:val="Heading2"/>
      </w:pPr>
      <w:r>
        <w:t>4.2 Controlled Benchmark</w:t>
      </w:r>
    </w:p>
    <w:p>
      <w:r>
        <w:t>The controlled benchmark comprises six Python tasks covering percentage calculation, string normalization, list access, dictionary access, label formatting, and numeric averaging. Ten repeated generations per task produce four candidate instances each, totaling 240 instances (6 × 10 × 4). The evaluation labels comprise 153 correct and 87 incorrect candidate instances. Repeated generations within a task are not independent software defects.</w:t>
      </w:r>
    </w:p>
    <w:p>
      <w:r>
        <w:t>We compare (i) visible-test-only acceptance, (ii) visible-plus-hidden-test acceptance, and (iii) the complete VERA-SE controlled verifier, which incorporates test outcomes, AST-based scope checks, task-specific behavioral probes, and change-risk information. In the complete controlled verifier, the additional hidden tests and behavioral probes are available during the acceptance decision; this is an evaluation of the complete configuration and not of risk scoring in isolation.</w:t>
      </w:r>
    </w:p>
    <w:p>
      <w:pPr>
        <w:pStyle w:val="Heading2"/>
      </w:pPr>
      <w:r>
        <w:t>4.3 Real-World Pilot and Scope</w:t>
      </w:r>
    </w:p>
    <w:p>
      <w:r>
        <w:t>The pilot comprises ten localized defects from the Black Python formatter as indexed by BugsInPy [8]: Black-1, Black-3, Black-4, Black-7, Black-8, Black-9, Black-10, Black-13, Black-14, and Black-16. Inclusion required a localized function or contiguous region, a reproducible triggering test, and an executable dependency/fixture environment. Multi-file or architectural changes were outside the pilot scope. The results therefore characterize these Black defects, not BugsInPy as a whole.</w:t>
      </w:r>
    </w:p>
    <w:p>
      <w:r>
        <w:t>Each task used four requested candidate-generation slots with a local Qwen2.5-Coder 7B model via Ollama. Invalid generations remained unsuccessful slots; they were not repeatedly replaced until four valid patches were obtained. The frozen evaluation is assembled from run IDs 20260904_164914 and 20260904_171236. A later modified and interrupted generator run is excluded.</w:t>
      </w:r>
    </w:p>
    <w:p>
      <w:pPr>
        <w:pStyle w:val="Heading2"/>
      </w:pPr>
      <w:r>
        <w:t>4.4 Independent Correctness Assessment</w:t>
      </w:r>
    </w:p>
    <w:p>
      <w:r>
        <w:t>A separate, held-out oracle was executed after candidate generation and VERA-SE acceptance decisions. A candidate received an oracle-positive label only if the oracle process succeeded, at least one test passed, and no test failed. Developer-fix information was privately inspected during benchmark localization and oracle construction, but was not supplied to the model prompt or verifier. These finite held-out tests are a correctness proxy for tested behaviors, not a formal proof of semantic equivalence.</w:t>
      </w:r>
    </w:p>
    <w:p>
      <w:pPr>
        <w:pStyle w:val="Heading2"/>
      </w:pPr>
      <w:r>
        <w:t>4.5 Metrics and Units of Analysis</w:t>
      </w:r>
    </w:p>
    <w:p>
      <w:r>
        <w:t>A positive decision means a candidate patch was accepted, and a positive reference label means that it satisfied the held-out correctness criterion. TP, FP, TN, and FN are computed over valid candidate instances. We report accuracy, precision, recall, false-acceptance rate (FAR), and false-rejection rate (FRR).</w:t>
      </w:r>
    </w:p>
    <w:p>
      <w:pPr>
        <w:jc w:val="center"/>
      </w:pPr>
      <w:r>
        <w:rPr>
          <w:rFonts w:ascii="Cambria Math" w:hAnsi="Cambria Math"/>
          <w:i/>
          <w:sz w:val="20"/>
        </w:rPr>
        <w:t>Accuracy = (TP + TN) / (TP + FP + TN + FN); Precision = TP / (TP + FP).</w:t>
      </w:r>
    </w:p>
    <w:p>
      <w:pPr>
        <w:jc w:val="center"/>
      </w:pPr>
      <w:r>
        <w:rPr>
          <w:rFonts w:ascii="Cambria Math" w:hAnsi="Cambria Math"/>
          <w:i/>
          <w:sz w:val="20"/>
        </w:rPr>
        <w:t>Recall = TP / (TP + FN); FAR = FP / (FP + TN); FRR = FN / (TP + FN).</w:t>
      </w:r>
    </w:p>
    <w:p>
      <w:r>
        <w:t>We separately report requested generations, valid candidate instances, unique patch contents, and tasks containing at least one valid candidate. Candidate-level metrics must not be interpreted as independent-bug success rates.</w:t>
      </w:r>
    </w:p>
    <w:p>
      <w:pPr>
        <w:pStyle w:val="Heading1"/>
      </w:pPr>
      <w:r>
        <w:t>5. Experimental Results</w:t>
      </w:r>
    </w:p>
    <w:p>
      <w:pPr>
        <w:pStyle w:val="Heading2"/>
      </w:pPr>
      <w:r>
        <w:t>5.1 Controlled Benchmark</w:t>
      </w:r>
    </w:p>
    <w:p>
      <w:pPr>
        <w:pStyle w:val="Caption"/>
        <w:keepNext w:val="0"/>
        <w:jc w:val="center"/>
      </w:pPr>
      <w:r>
        <w:rPr>
          <w:b/>
        </w:rPr>
        <w:t>Table 1. Controlled benchmark: candidate-level acceptance (240 instances).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EAF0F6"/>
          </w:tcPr>
          <w:p>
            <w:pPr>
              <w:keepLines/>
              <w:spacing w:after="0"/>
            </w:pPr>
            <w:r>
              <w:rPr>
                <w:b/>
                <w:sz w:val="16"/>
              </w:rPr>
              <w:t>Metric</w:t>
            </w:r>
          </w:p>
        </w:tc>
        <w:tc>
          <w:tcPr>
            <w:tcW w:type="dxa" w:w="2412"/>
            <w:vAlign w:val="center"/>
            <w:shd w:fill="EAF0F6"/>
          </w:tcPr>
          <w:p>
            <w:pPr>
              <w:keepLines/>
              <w:spacing w:after="0"/>
            </w:pPr>
            <w:r>
              <w:rPr>
                <w:b/>
                <w:sz w:val="16"/>
              </w:rPr>
              <w:t>Visible only</w:t>
            </w:r>
          </w:p>
        </w:tc>
        <w:tc>
          <w:tcPr>
            <w:tcW w:type="dxa" w:w="2412"/>
            <w:vAlign w:val="center"/>
            <w:shd w:fill="EAF0F6"/>
          </w:tcPr>
          <w:p>
            <w:pPr>
              <w:keepLines/>
              <w:spacing w:after="0"/>
            </w:pPr>
            <w:r>
              <w:rPr>
                <w:b/>
                <w:sz w:val="16"/>
              </w:rPr>
              <w:t>Visible + hidden</w:t>
            </w:r>
          </w:p>
        </w:tc>
        <w:tc>
          <w:tcPr>
            <w:tcW w:type="dxa" w:w="2412"/>
            <w:vAlign w:val="center"/>
            <w:shd w:fill="EAF0F6"/>
          </w:tcPr>
          <w:p>
            <w:pPr>
              <w:keepLines/>
              <w:spacing w:after="0"/>
            </w:pPr>
            <w:r>
              <w:rPr>
                <w:b/>
                <w:sz w:val="16"/>
              </w:rPr>
              <w:t>VERA-SE</w:t>
            </w:r>
          </w:p>
        </w:tc>
        <w:trPr>
          <w:tblHeader/>
        </w:trPr>
      </w:tr>
      <w:tr>
        <w:tc>
          <w:tcPr>
            <w:tcW w:type="dxa" w:w="2412"/>
            <w:vAlign w:val="center"/>
          </w:tcPr>
          <w:p>
            <w:pPr>
              <w:keepLines/>
              <w:spacing w:after="0"/>
            </w:pPr>
            <w:r>
              <w:rPr>
                <w:sz w:val="16"/>
              </w:rPr>
              <w:t>True positives</w:t>
            </w:r>
          </w:p>
        </w:tc>
        <w:tc>
          <w:tcPr>
            <w:tcW w:type="dxa" w:w="2412"/>
            <w:vAlign w:val="center"/>
          </w:tcPr>
          <w:p>
            <w:pPr>
              <w:keepLines/>
              <w:spacing w:after="0"/>
            </w:pPr>
            <w:r>
              <w:rPr>
                <w:sz w:val="16"/>
              </w:rPr>
              <w:t>153</w:t>
            </w:r>
          </w:p>
        </w:tc>
        <w:tc>
          <w:tcPr>
            <w:tcW w:type="dxa" w:w="2412"/>
            <w:vAlign w:val="center"/>
          </w:tcPr>
          <w:p>
            <w:pPr>
              <w:keepLines/>
              <w:spacing w:after="0"/>
            </w:pPr>
            <w:r>
              <w:rPr>
                <w:sz w:val="16"/>
              </w:rPr>
              <w:t>153</w:t>
            </w:r>
          </w:p>
        </w:tc>
        <w:tc>
          <w:tcPr>
            <w:tcW w:type="dxa" w:w="2412"/>
            <w:vAlign w:val="center"/>
          </w:tcPr>
          <w:p>
            <w:pPr>
              <w:keepLines/>
              <w:spacing w:after="0"/>
            </w:pPr>
            <w:r>
              <w:rPr>
                <w:sz w:val="16"/>
              </w:rPr>
              <w:t>152</w:t>
            </w:r>
          </w:p>
        </w:tc>
      </w:tr>
      <w:tr>
        <w:tc>
          <w:tcPr>
            <w:tcW w:type="dxa" w:w="2412"/>
            <w:vAlign w:val="center"/>
          </w:tcPr>
          <w:p>
            <w:pPr>
              <w:keepLines/>
              <w:spacing w:after="0"/>
            </w:pPr>
            <w:r>
              <w:rPr>
                <w:sz w:val="16"/>
              </w:rPr>
              <w:t>False positives</w:t>
            </w:r>
          </w:p>
        </w:tc>
        <w:tc>
          <w:tcPr>
            <w:tcW w:type="dxa" w:w="2412"/>
            <w:vAlign w:val="center"/>
          </w:tcPr>
          <w:p>
            <w:pPr>
              <w:keepLines/>
              <w:spacing w:after="0"/>
            </w:pPr>
            <w:r>
              <w:rPr>
                <w:sz w:val="16"/>
              </w:rPr>
              <w:t>65</w:t>
            </w:r>
          </w:p>
        </w:tc>
        <w:tc>
          <w:tcPr>
            <w:tcW w:type="dxa" w:w="2412"/>
            <w:vAlign w:val="center"/>
          </w:tcPr>
          <w:p>
            <w:pPr>
              <w:keepLines/>
              <w:spacing w:after="0"/>
            </w:pPr>
            <w:r>
              <w:rPr>
                <w:sz w:val="16"/>
              </w:rPr>
              <w:t>24</w:t>
            </w:r>
          </w:p>
        </w:tc>
        <w:tc>
          <w:tcPr>
            <w:tcW w:type="dxa" w:w="2412"/>
            <w:vAlign w:val="center"/>
          </w:tcPr>
          <w:p>
            <w:pPr>
              <w:keepLines/>
              <w:spacing w:after="0"/>
            </w:pPr>
            <w:r>
              <w:rPr>
                <w:sz w:val="16"/>
              </w:rPr>
              <w:t>0</w:t>
            </w:r>
          </w:p>
        </w:tc>
      </w:tr>
      <w:tr>
        <w:tc>
          <w:tcPr>
            <w:tcW w:type="dxa" w:w="2412"/>
            <w:vAlign w:val="center"/>
          </w:tcPr>
          <w:p>
            <w:pPr>
              <w:keepLines/>
              <w:spacing w:after="0"/>
            </w:pPr>
            <w:r>
              <w:rPr>
                <w:sz w:val="16"/>
              </w:rPr>
              <w:t>True negatives</w:t>
            </w:r>
          </w:p>
        </w:tc>
        <w:tc>
          <w:tcPr>
            <w:tcW w:type="dxa" w:w="2412"/>
            <w:vAlign w:val="center"/>
          </w:tcPr>
          <w:p>
            <w:pPr>
              <w:keepLines/>
              <w:spacing w:after="0"/>
            </w:pPr>
            <w:r>
              <w:rPr>
                <w:sz w:val="16"/>
              </w:rPr>
              <w:t>22</w:t>
            </w:r>
          </w:p>
        </w:tc>
        <w:tc>
          <w:tcPr>
            <w:tcW w:type="dxa" w:w="2412"/>
            <w:vAlign w:val="center"/>
          </w:tcPr>
          <w:p>
            <w:pPr>
              <w:keepLines/>
              <w:spacing w:after="0"/>
            </w:pPr>
            <w:r>
              <w:rPr>
                <w:sz w:val="16"/>
              </w:rPr>
              <w:t>63</w:t>
            </w:r>
          </w:p>
        </w:tc>
        <w:tc>
          <w:tcPr>
            <w:tcW w:type="dxa" w:w="2412"/>
            <w:vAlign w:val="center"/>
          </w:tcPr>
          <w:p>
            <w:pPr>
              <w:keepLines/>
              <w:spacing w:after="0"/>
            </w:pPr>
            <w:r>
              <w:rPr>
                <w:sz w:val="16"/>
              </w:rPr>
              <w:t>87</w:t>
            </w:r>
          </w:p>
        </w:tc>
      </w:tr>
      <w:tr>
        <w:tc>
          <w:tcPr>
            <w:tcW w:type="dxa" w:w="2412"/>
            <w:vAlign w:val="center"/>
          </w:tcPr>
          <w:p>
            <w:pPr>
              <w:keepLines/>
              <w:spacing w:after="0"/>
            </w:pPr>
            <w:r>
              <w:rPr>
                <w:sz w:val="16"/>
              </w:rPr>
              <w:t>False negatives</w:t>
            </w:r>
          </w:p>
        </w:tc>
        <w:tc>
          <w:tcPr>
            <w:tcW w:type="dxa" w:w="2412"/>
            <w:vAlign w:val="center"/>
          </w:tcPr>
          <w:p>
            <w:pPr>
              <w:keepLines/>
              <w:spacing w:after="0"/>
            </w:pPr>
            <w:r>
              <w:rPr>
                <w:sz w:val="16"/>
              </w:rPr>
              <w:t>0</w:t>
            </w:r>
          </w:p>
        </w:tc>
        <w:tc>
          <w:tcPr>
            <w:tcW w:type="dxa" w:w="2412"/>
            <w:vAlign w:val="center"/>
          </w:tcPr>
          <w:p>
            <w:pPr>
              <w:keepLines/>
              <w:spacing w:after="0"/>
            </w:pPr>
            <w:r>
              <w:rPr>
                <w:sz w:val="16"/>
              </w:rPr>
              <w:t>0</w:t>
            </w:r>
          </w:p>
        </w:tc>
        <w:tc>
          <w:tcPr>
            <w:tcW w:type="dxa" w:w="2412"/>
            <w:vAlign w:val="center"/>
          </w:tcPr>
          <w:p>
            <w:pPr>
              <w:keepLines/>
              <w:spacing w:after="0"/>
            </w:pPr>
            <w:r>
              <w:rPr>
                <w:sz w:val="16"/>
              </w:rPr>
              <w:t>1</w:t>
            </w:r>
          </w:p>
        </w:tc>
      </w:tr>
      <w:tr>
        <w:tc>
          <w:tcPr>
            <w:tcW w:type="dxa" w:w="2412"/>
            <w:vAlign w:val="center"/>
          </w:tcPr>
          <w:p>
            <w:pPr>
              <w:keepLines/>
              <w:spacing w:after="0"/>
            </w:pPr>
            <w:r>
              <w:rPr>
                <w:sz w:val="16"/>
              </w:rPr>
              <w:t>Accuracy</w:t>
            </w:r>
          </w:p>
        </w:tc>
        <w:tc>
          <w:tcPr>
            <w:tcW w:type="dxa" w:w="2412"/>
            <w:vAlign w:val="center"/>
          </w:tcPr>
          <w:p>
            <w:pPr>
              <w:keepLines/>
              <w:spacing w:after="0"/>
            </w:pPr>
            <w:r>
              <w:rPr>
                <w:sz w:val="16"/>
              </w:rPr>
              <w:t>72.9%</w:t>
            </w:r>
          </w:p>
        </w:tc>
        <w:tc>
          <w:tcPr>
            <w:tcW w:type="dxa" w:w="2412"/>
            <w:vAlign w:val="center"/>
          </w:tcPr>
          <w:p>
            <w:pPr>
              <w:keepLines/>
              <w:spacing w:after="0"/>
            </w:pPr>
            <w:r>
              <w:rPr>
                <w:sz w:val="16"/>
              </w:rPr>
              <w:t>90.0%</w:t>
            </w:r>
          </w:p>
        </w:tc>
        <w:tc>
          <w:tcPr>
            <w:tcW w:type="dxa" w:w="2412"/>
            <w:vAlign w:val="center"/>
          </w:tcPr>
          <w:p>
            <w:pPr>
              <w:keepLines/>
              <w:spacing w:after="0"/>
            </w:pPr>
            <w:r>
              <w:rPr>
                <w:sz w:val="16"/>
              </w:rPr>
              <w:t>99.6%</w:t>
            </w:r>
          </w:p>
        </w:tc>
      </w:tr>
      <w:tr>
        <w:tc>
          <w:tcPr>
            <w:tcW w:type="dxa" w:w="2412"/>
            <w:vAlign w:val="center"/>
          </w:tcPr>
          <w:p>
            <w:pPr>
              <w:keepLines/>
              <w:spacing w:after="0"/>
            </w:pPr>
            <w:r>
              <w:rPr>
                <w:sz w:val="16"/>
              </w:rPr>
              <w:t>Precision</w:t>
            </w:r>
          </w:p>
        </w:tc>
        <w:tc>
          <w:tcPr>
            <w:tcW w:type="dxa" w:w="2412"/>
            <w:vAlign w:val="center"/>
          </w:tcPr>
          <w:p>
            <w:pPr>
              <w:keepLines/>
              <w:spacing w:after="0"/>
            </w:pPr>
            <w:r>
              <w:rPr>
                <w:sz w:val="16"/>
              </w:rPr>
              <w:t>70.2%</w:t>
            </w:r>
          </w:p>
        </w:tc>
        <w:tc>
          <w:tcPr>
            <w:tcW w:type="dxa" w:w="2412"/>
            <w:vAlign w:val="center"/>
          </w:tcPr>
          <w:p>
            <w:pPr>
              <w:keepLines/>
              <w:spacing w:after="0"/>
            </w:pPr>
            <w:r>
              <w:rPr>
                <w:sz w:val="16"/>
              </w:rPr>
              <w:t>86.4%</w:t>
            </w:r>
          </w:p>
        </w:tc>
        <w:tc>
          <w:tcPr>
            <w:tcW w:type="dxa" w:w="2412"/>
            <w:vAlign w:val="center"/>
          </w:tcPr>
          <w:p>
            <w:pPr>
              <w:keepLines/>
              <w:spacing w:after="0"/>
            </w:pPr>
            <w:r>
              <w:rPr>
                <w:sz w:val="16"/>
              </w:rPr>
              <w:t>100.0%</w:t>
            </w:r>
          </w:p>
        </w:tc>
      </w:tr>
      <w:tr>
        <w:tc>
          <w:tcPr>
            <w:tcW w:type="dxa" w:w="2412"/>
            <w:vAlign w:val="center"/>
          </w:tcPr>
          <w:p>
            <w:pPr>
              <w:keepLines/>
              <w:spacing w:after="0"/>
            </w:pPr>
            <w:r>
              <w:rPr>
                <w:sz w:val="16"/>
              </w:rPr>
              <w:t>Recall</w:t>
            </w:r>
          </w:p>
        </w:tc>
        <w:tc>
          <w:tcPr>
            <w:tcW w:type="dxa" w:w="2412"/>
            <w:vAlign w:val="center"/>
          </w:tcPr>
          <w:p>
            <w:pPr>
              <w:keepLines/>
              <w:spacing w:after="0"/>
            </w:pPr>
            <w:r>
              <w:rPr>
                <w:sz w:val="16"/>
              </w:rPr>
              <w:t>100.0%</w:t>
            </w:r>
          </w:p>
        </w:tc>
        <w:tc>
          <w:tcPr>
            <w:tcW w:type="dxa" w:w="2412"/>
            <w:vAlign w:val="center"/>
          </w:tcPr>
          <w:p>
            <w:pPr>
              <w:keepLines/>
              <w:spacing w:after="0"/>
            </w:pPr>
            <w:r>
              <w:rPr>
                <w:sz w:val="16"/>
              </w:rPr>
              <w:t>100.0%</w:t>
            </w:r>
          </w:p>
        </w:tc>
        <w:tc>
          <w:tcPr>
            <w:tcW w:type="dxa" w:w="2412"/>
            <w:vAlign w:val="center"/>
          </w:tcPr>
          <w:p>
            <w:pPr>
              <w:keepLines/>
              <w:spacing w:after="0"/>
            </w:pPr>
            <w:r>
              <w:rPr>
                <w:sz w:val="16"/>
              </w:rPr>
              <w:t>99.3%</w:t>
            </w:r>
          </w:p>
        </w:tc>
      </w:tr>
      <w:tr>
        <w:tc>
          <w:tcPr>
            <w:tcW w:type="dxa" w:w="2412"/>
            <w:vAlign w:val="center"/>
          </w:tcPr>
          <w:p>
            <w:pPr>
              <w:keepLines/>
              <w:spacing w:after="0"/>
            </w:pPr>
            <w:r>
              <w:rPr>
                <w:sz w:val="16"/>
              </w:rPr>
              <w:t>FAR</w:t>
            </w:r>
          </w:p>
        </w:tc>
        <w:tc>
          <w:tcPr>
            <w:tcW w:type="dxa" w:w="2412"/>
            <w:vAlign w:val="center"/>
          </w:tcPr>
          <w:p>
            <w:pPr>
              <w:keepLines/>
              <w:spacing w:after="0"/>
            </w:pPr>
            <w:r>
              <w:rPr>
                <w:sz w:val="16"/>
              </w:rPr>
              <w:t>74.7%</w:t>
            </w:r>
          </w:p>
        </w:tc>
        <w:tc>
          <w:tcPr>
            <w:tcW w:type="dxa" w:w="2412"/>
            <w:vAlign w:val="center"/>
          </w:tcPr>
          <w:p>
            <w:pPr>
              <w:keepLines/>
              <w:spacing w:after="0"/>
            </w:pPr>
            <w:r>
              <w:rPr>
                <w:sz w:val="16"/>
              </w:rPr>
              <w:t>27.6%</w:t>
            </w:r>
          </w:p>
        </w:tc>
        <w:tc>
          <w:tcPr>
            <w:tcW w:type="dxa" w:w="2412"/>
            <w:vAlign w:val="center"/>
          </w:tcPr>
          <w:p>
            <w:pPr>
              <w:keepLines/>
              <w:spacing w:after="0"/>
            </w:pPr>
            <w:r>
              <w:rPr>
                <w:sz w:val="16"/>
              </w:rPr>
              <w:t>0.0%</w:t>
            </w:r>
          </w:p>
        </w:tc>
      </w:tr>
      <w:tr>
        <w:tc>
          <w:tcPr>
            <w:tcW w:type="dxa" w:w="2412"/>
            <w:vAlign w:val="center"/>
          </w:tcPr>
          <w:p>
            <w:pPr>
              <w:keepLines/>
              <w:spacing w:after="0"/>
            </w:pPr>
            <w:r>
              <w:rPr>
                <w:sz w:val="16"/>
              </w:rPr>
              <w:t>FRR</w:t>
            </w:r>
          </w:p>
        </w:tc>
        <w:tc>
          <w:tcPr>
            <w:tcW w:type="dxa" w:w="2412"/>
            <w:vAlign w:val="center"/>
          </w:tcPr>
          <w:p>
            <w:pPr>
              <w:keepLines/>
              <w:spacing w:after="0"/>
            </w:pPr>
            <w:r>
              <w:rPr>
                <w:sz w:val="16"/>
              </w:rPr>
              <w:t>0.0%</w:t>
            </w:r>
          </w:p>
        </w:tc>
        <w:tc>
          <w:tcPr>
            <w:tcW w:type="dxa" w:w="2412"/>
            <w:vAlign w:val="center"/>
          </w:tcPr>
          <w:p>
            <w:pPr>
              <w:keepLines/>
              <w:spacing w:after="0"/>
            </w:pPr>
            <w:r>
              <w:rPr>
                <w:sz w:val="16"/>
              </w:rPr>
              <w:t>0.0%</w:t>
            </w:r>
          </w:p>
        </w:tc>
        <w:tc>
          <w:tcPr>
            <w:tcW w:type="dxa" w:w="2412"/>
            <w:vAlign w:val="center"/>
          </w:tcPr>
          <w:p>
            <w:pPr>
              <w:keepLines/>
              <w:spacing w:after="0"/>
            </w:pPr>
            <w:r>
              <w:rPr>
                <w:sz w:val="16"/>
              </w:rPr>
              <w:t>0.7%</w:t>
            </w:r>
          </w:p>
        </w:tc>
      </w:tr>
    </w:tbl>
    <w:p>
      <w:pPr>
        <w:spacing w:after="20"/>
      </w:pPr>
    </w:p>
    <w:p>
      <w:r>
        <w:t>Visible testing alone accepted all 153 labeled-correct candidate instances but also accepted 65 of the 87 incorrect instances. Additional hidden tests reduced false acceptance to 24 incorrect instances. The full VERA-SE controlled configuration rejected all 87 incorrect instances while rejecting one correct instance. These results support the utility of behaviorally informative verification in this small controlled setting.</w:t>
      </w:r>
    </w:p>
    <w:p>
      <w:pPr>
        <w:pStyle w:val="Heading2"/>
      </w:pPr>
      <w:r>
        <w:t>5.2 Controlled Ablation Findings</w:t>
      </w:r>
    </w:p>
    <w:p>
      <w:r>
        <w:t>To investigate the contribution of individual verification signals, we compare five acceptance configurations over the same 240 controlled candidate instances. Table 2 reports accuracy, precision, recall, false-acceptance rate (FAR), and false-rejection rate (FRR).</w:t>
      </w:r>
    </w:p>
    <w:p>
      <w:pPr>
        <w:pStyle w:val="Caption"/>
      </w:pPr>
      <w:r>
        <w:t>Table 2. Controlled benchmark ablation results (240 candidate instances).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3312"/>
            <w:vAlign w:val="center"/>
            <w:tcMar>
              <w:top w:w="60" w:type="dxa"/>
              <w:left w:w="60" w:type="dxa"/>
              <w:bottom w:w="60" w:type="dxa"/>
              <w:right w:w="60" w:type="dxa"/>
            </w:tcMar>
          </w:tcPr>
          <w:p>
            <w:pPr>
              <w:spacing w:after="0"/>
            </w:pPr>
            <w:r>
              <w:rPr>
                <w:b/>
                <w:sz w:val="16"/>
              </w:rPr>
              <w:t>Configuration</w:t>
            </w:r>
          </w:p>
        </w:tc>
        <w:tc>
          <w:tcPr>
            <w:tcW w:type="dxa" w:w="1109"/>
            <w:vAlign w:val="center"/>
            <w:tcMar>
              <w:top w:w="60" w:type="dxa"/>
              <w:left w:w="60" w:type="dxa"/>
              <w:bottom w:w="60" w:type="dxa"/>
              <w:right w:w="60" w:type="dxa"/>
            </w:tcMar>
          </w:tcPr>
          <w:p>
            <w:pPr>
              <w:spacing w:after="0"/>
              <w:jc w:val="center"/>
            </w:pPr>
            <w:r>
              <w:rPr>
                <w:b/>
                <w:sz w:val="16"/>
              </w:rPr>
              <w:t>Accuracy</w:t>
            </w:r>
          </w:p>
        </w:tc>
        <w:tc>
          <w:tcPr>
            <w:tcW w:type="dxa" w:w="1123"/>
            <w:vAlign w:val="center"/>
            <w:tcMar>
              <w:top w:w="60" w:type="dxa"/>
              <w:left w:w="60" w:type="dxa"/>
              <w:bottom w:w="60" w:type="dxa"/>
              <w:right w:w="60" w:type="dxa"/>
            </w:tcMar>
          </w:tcPr>
          <w:p>
            <w:pPr>
              <w:spacing w:after="0"/>
              <w:jc w:val="center"/>
            </w:pPr>
            <w:r>
              <w:rPr>
                <w:b/>
                <w:sz w:val="16"/>
              </w:rPr>
              <w:t>Precision</w:t>
            </w:r>
          </w:p>
        </w:tc>
        <w:tc>
          <w:tcPr>
            <w:tcW w:type="dxa" w:w="965"/>
            <w:vAlign w:val="center"/>
            <w:tcMar>
              <w:top w:w="60" w:type="dxa"/>
              <w:left w:w="60" w:type="dxa"/>
              <w:bottom w:w="60" w:type="dxa"/>
              <w:right w:w="60" w:type="dxa"/>
            </w:tcMar>
          </w:tcPr>
          <w:p>
            <w:pPr>
              <w:spacing w:after="0"/>
              <w:jc w:val="center"/>
            </w:pPr>
            <w:r>
              <w:rPr>
                <w:b/>
                <w:sz w:val="16"/>
              </w:rPr>
              <w:t>Recall</w:t>
            </w:r>
          </w:p>
        </w:tc>
        <w:tc>
          <w:tcPr>
            <w:tcW w:type="dxa" w:w="749"/>
            <w:vAlign w:val="center"/>
            <w:tcMar>
              <w:top w:w="60" w:type="dxa"/>
              <w:left w:w="60" w:type="dxa"/>
              <w:bottom w:w="60" w:type="dxa"/>
              <w:right w:w="60" w:type="dxa"/>
            </w:tcMar>
          </w:tcPr>
          <w:p>
            <w:pPr>
              <w:spacing w:after="0"/>
              <w:jc w:val="center"/>
            </w:pPr>
            <w:r>
              <w:rPr>
                <w:b/>
                <w:sz w:val="16"/>
              </w:rPr>
              <w:t>FAR</w:t>
            </w:r>
          </w:p>
        </w:tc>
        <w:tc>
          <w:tcPr>
            <w:tcW w:type="dxa" w:w="749"/>
            <w:vAlign w:val="center"/>
            <w:tcMar>
              <w:top w:w="60" w:type="dxa"/>
              <w:left w:w="60" w:type="dxa"/>
              <w:bottom w:w="60" w:type="dxa"/>
              <w:right w:w="60" w:type="dxa"/>
            </w:tcMar>
          </w:tcPr>
          <w:p>
            <w:pPr>
              <w:spacing w:after="0"/>
              <w:jc w:val="center"/>
            </w:pPr>
            <w:r>
              <w:rPr>
                <w:b/>
                <w:sz w:val="16"/>
              </w:rPr>
              <w:t>FRR</w:t>
            </w:r>
          </w:p>
        </w:tc>
      </w:tr>
      <w:tr>
        <w:tc>
          <w:tcPr>
            <w:tcW w:type="dxa" w:w="3312"/>
            <w:vAlign w:val="center"/>
            <w:tcMar>
              <w:top w:w="60" w:type="dxa"/>
              <w:left w:w="60" w:type="dxa"/>
              <w:bottom w:w="60" w:type="dxa"/>
              <w:right w:w="60" w:type="dxa"/>
            </w:tcMar>
          </w:tcPr>
          <w:p>
            <w:pPr>
              <w:spacing w:after="0"/>
            </w:pPr>
            <w:r>
              <w:rPr>
                <w:sz w:val="16"/>
              </w:rPr>
              <w:t>Visible tests only</w:t>
            </w:r>
          </w:p>
        </w:tc>
        <w:tc>
          <w:tcPr>
            <w:tcW w:type="dxa" w:w="1109"/>
            <w:vAlign w:val="center"/>
            <w:tcMar>
              <w:top w:w="60" w:type="dxa"/>
              <w:left w:w="60" w:type="dxa"/>
              <w:bottom w:w="60" w:type="dxa"/>
              <w:right w:w="60" w:type="dxa"/>
            </w:tcMar>
          </w:tcPr>
          <w:p>
            <w:pPr>
              <w:spacing w:after="0"/>
              <w:jc w:val="center"/>
            </w:pPr>
            <w:r>
              <w:rPr>
                <w:sz w:val="16"/>
              </w:rPr>
              <w:t>72.9%</w:t>
            </w:r>
          </w:p>
        </w:tc>
        <w:tc>
          <w:tcPr>
            <w:tcW w:type="dxa" w:w="1123"/>
            <w:vAlign w:val="center"/>
            <w:tcMar>
              <w:top w:w="60" w:type="dxa"/>
              <w:left w:w="60" w:type="dxa"/>
              <w:bottom w:w="60" w:type="dxa"/>
              <w:right w:w="60" w:type="dxa"/>
            </w:tcMar>
          </w:tcPr>
          <w:p>
            <w:pPr>
              <w:spacing w:after="0"/>
              <w:jc w:val="center"/>
            </w:pPr>
            <w:r>
              <w:rPr>
                <w:sz w:val="16"/>
              </w:rPr>
              <w:t>70.2%</w:t>
            </w:r>
          </w:p>
        </w:tc>
        <w:tc>
          <w:tcPr>
            <w:tcW w:type="dxa" w:w="965"/>
            <w:vAlign w:val="center"/>
            <w:tcMar>
              <w:top w:w="60" w:type="dxa"/>
              <w:left w:w="60" w:type="dxa"/>
              <w:bottom w:w="60" w:type="dxa"/>
              <w:right w:w="60" w:type="dxa"/>
            </w:tcMar>
          </w:tcPr>
          <w:p>
            <w:pPr>
              <w:spacing w:after="0"/>
              <w:jc w:val="center"/>
            </w:pPr>
            <w:r>
              <w:rPr>
                <w:sz w:val="16"/>
              </w:rPr>
              <w:t>100.0%</w:t>
            </w:r>
          </w:p>
        </w:tc>
        <w:tc>
          <w:tcPr>
            <w:tcW w:type="dxa" w:w="749"/>
            <w:vAlign w:val="center"/>
            <w:tcMar>
              <w:top w:w="60" w:type="dxa"/>
              <w:left w:w="60" w:type="dxa"/>
              <w:bottom w:w="60" w:type="dxa"/>
              <w:right w:w="60" w:type="dxa"/>
            </w:tcMar>
          </w:tcPr>
          <w:p>
            <w:pPr>
              <w:spacing w:after="0"/>
              <w:jc w:val="center"/>
            </w:pPr>
            <w:r>
              <w:rPr>
                <w:sz w:val="16"/>
              </w:rPr>
              <w:t>74.7%</w:t>
            </w:r>
          </w:p>
        </w:tc>
        <w:tc>
          <w:tcPr>
            <w:tcW w:type="dxa" w:w="749"/>
            <w:vAlign w:val="center"/>
            <w:tcMar>
              <w:top w:w="60" w:type="dxa"/>
              <w:left w:w="60" w:type="dxa"/>
              <w:bottom w:w="60" w:type="dxa"/>
              <w:right w:w="60" w:type="dxa"/>
            </w:tcMar>
          </w:tcPr>
          <w:p>
            <w:pPr>
              <w:spacing w:after="0"/>
              <w:jc w:val="center"/>
            </w:pPr>
            <w:r>
              <w:rPr>
                <w:sz w:val="16"/>
              </w:rPr>
              <w:t>0.0%</w:t>
            </w:r>
          </w:p>
        </w:tc>
      </w:tr>
      <w:tr>
        <w:tc>
          <w:tcPr>
            <w:tcW w:type="dxa" w:w="3312"/>
            <w:vAlign w:val="center"/>
            <w:tcMar>
              <w:top w:w="60" w:type="dxa"/>
              <w:left w:w="60" w:type="dxa"/>
              <w:bottom w:w="60" w:type="dxa"/>
              <w:right w:w="60" w:type="dxa"/>
            </w:tcMar>
          </w:tcPr>
          <w:p>
            <w:pPr>
              <w:spacing w:after="0"/>
            </w:pPr>
            <w:r>
              <w:rPr>
                <w:sz w:val="16"/>
              </w:rPr>
              <w:t>Visible + hidden</w:t>
            </w:r>
          </w:p>
        </w:tc>
        <w:tc>
          <w:tcPr>
            <w:tcW w:type="dxa" w:w="1109"/>
            <w:vAlign w:val="center"/>
            <w:tcMar>
              <w:top w:w="60" w:type="dxa"/>
              <w:left w:w="60" w:type="dxa"/>
              <w:bottom w:w="60" w:type="dxa"/>
              <w:right w:w="60" w:type="dxa"/>
            </w:tcMar>
          </w:tcPr>
          <w:p>
            <w:pPr>
              <w:spacing w:after="0"/>
              <w:jc w:val="center"/>
            </w:pPr>
            <w:r>
              <w:rPr>
                <w:sz w:val="16"/>
              </w:rPr>
              <w:t>90.0%</w:t>
            </w:r>
          </w:p>
        </w:tc>
        <w:tc>
          <w:tcPr>
            <w:tcW w:type="dxa" w:w="1123"/>
            <w:vAlign w:val="center"/>
            <w:tcMar>
              <w:top w:w="60" w:type="dxa"/>
              <w:left w:w="60" w:type="dxa"/>
              <w:bottom w:w="60" w:type="dxa"/>
              <w:right w:w="60" w:type="dxa"/>
            </w:tcMar>
          </w:tcPr>
          <w:p>
            <w:pPr>
              <w:spacing w:after="0"/>
              <w:jc w:val="center"/>
            </w:pPr>
            <w:r>
              <w:rPr>
                <w:sz w:val="16"/>
              </w:rPr>
              <w:t>86.4%</w:t>
            </w:r>
          </w:p>
        </w:tc>
        <w:tc>
          <w:tcPr>
            <w:tcW w:type="dxa" w:w="965"/>
            <w:vAlign w:val="center"/>
            <w:tcMar>
              <w:top w:w="60" w:type="dxa"/>
              <w:left w:w="60" w:type="dxa"/>
              <w:bottom w:w="60" w:type="dxa"/>
              <w:right w:w="60" w:type="dxa"/>
            </w:tcMar>
          </w:tcPr>
          <w:p>
            <w:pPr>
              <w:spacing w:after="0"/>
              <w:jc w:val="center"/>
            </w:pPr>
            <w:r>
              <w:rPr>
                <w:sz w:val="16"/>
              </w:rPr>
              <w:t>100.0%</w:t>
            </w:r>
          </w:p>
        </w:tc>
        <w:tc>
          <w:tcPr>
            <w:tcW w:type="dxa" w:w="749"/>
            <w:vAlign w:val="center"/>
            <w:tcMar>
              <w:top w:w="60" w:type="dxa"/>
              <w:left w:w="60" w:type="dxa"/>
              <w:bottom w:w="60" w:type="dxa"/>
              <w:right w:w="60" w:type="dxa"/>
            </w:tcMar>
          </w:tcPr>
          <w:p>
            <w:pPr>
              <w:spacing w:after="0"/>
              <w:jc w:val="center"/>
            </w:pPr>
            <w:r>
              <w:rPr>
                <w:sz w:val="16"/>
              </w:rPr>
              <w:t>27.6%</w:t>
            </w:r>
          </w:p>
        </w:tc>
        <w:tc>
          <w:tcPr>
            <w:tcW w:type="dxa" w:w="749"/>
            <w:vAlign w:val="center"/>
            <w:tcMar>
              <w:top w:w="60" w:type="dxa"/>
              <w:left w:w="60" w:type="dxa"/>
              <w:bottom w:w="60" w:type="dxa"/>
              <w:right w:w="60" w:type="dxa"/>
            </w:tcMar>
          </w:tcPr>
          <w:p>
            <w:pPr>
              <w:spacing w:after="0"/>
              <w:jc w:val="center"/>
            </w:pPr>
            <w:r>
              <w:rPr>
                <w:sz w:val="16"/>
              </w:rPr>
              <w:t>0.0%</w:t>
            </w:r>
          </w:p>
        </w:tc>
      </w:tr>
      <w:tr>
        <w:tc>
          <w:tcPr>
            <w:tcW w:type="dxa" w:w="3312"/>
            <w:vAlign w:val="center"/>
            <w:tcMar>
              <w:top w:w="60" w:type="dxa"/>
              <w:left w:w="60" w:type="dxa"/>
              <w:bottom w:w="60" w:type="dxa"/>
              <w:right w:w="60" w:type="dxa"/>
            </w:tcMar>
          </w:tcPr>
          <w:p>
            <w:pPr>
              <w:spacing w:after="0"/>
            </w:pPr>
            <w:r>
              <w:rPr>
                <w:sz w:val="16"/>
              </w:rPr>
              <w:t>Visible + hidden + behavior</w:t>
            </w:r>
          </w:p>
        </w:tc>
        <w:tc>
          <w:tcPr>
            <w:tcW w:type="dxa" w:w="1109"/>
            <w:vAlign w:val="center"/>
            <w:tcMar>
              <w:top w:w="60" w:type="dxa"/>
              <w:left w:w="60" w:type="dxa"/>
              <w:bottom w:w="60" w:type="dxa"/>
              <w:right w:w="60" w:type="dxa"/>
            </w:tcMar>
          </w:tcPr>
          <w:p>
            <w:pPr>
              <w:spacing w:after="0"/>
              <w:jc w:val="center"/>
            </w:pPr>
            <w:r>
              <w:rPr>
                <w:sz w:val="16"/>
              </w:rPr>
              <w:t>100.0%</w:t>
            </w:r>
          </w:p>
        </w:tc>
        <w:tc>
          <w:tcPr>
            <w:tcW w:type="dxa" w:w="1123"/>
            <w:vAlign w:val="center"/>
            <w:tcMar>
              <w:top w:w="60" w:type="dxa"/>
              <w:left w:w="60" w:type="dxa"/>
              <w:bottom w:w="60" w:type="dxa"/>
              <w:right w:w="60" w:type="dxa"/>
            </w:tcMar>
          </w:tcPr>
          <w:p>
            <w:pPr>
              <w:spacing w:after="0"/>
              <w:jc w:val="center"/>
            </w:pPr>
            <w:r>
              <w:rPr>
                <w:sz w:val="16"/>
              </w:rPr>
              <w:t>100.0%</w:t>
            </w:r>
          </w:p>
        </w:tc>
        <w:tc>
          <w:tcPr>
            <w:tcW w:type="dxa" w:w="965"/>
            <w:vAlign w:val="center"/>
            <w:tcMar>
              <w:top w:w="60" w:type="dxa"/>
              <w:left w:w="60" w:type="dxa"/>
              <w:bottom w:w="60" w:type="dxa"/>
              <w:right w:w="60" w:type="dxa"/>
            </w:tcMar>
          </w:tcPr>
          <w:p>
            <w:pPr>
              <w:spacing w:after="0"/>
              <w:jc w:val="center"/>
            </w:pPr>
            <w:r>
              <w:rPr>
                <w:sz w:val="16"/>
              </w:rPr>
              <w:t>100.0%</w:t>
            </w:r>
          </w:p>
        </w:tc>
        <w:tc>
          <w:tcPr>
            <w:tcW w:type="dxa" w:w="749"/>
            <w:vAlign w:val="center"/>
            <w:tcMar>
              <w:top w:w="60" w:type="dxa"/>
              <w:left w:w="60" w:type="dxa"/>
              <w:bottom w:w="60" w:type="dxa"/>
              <w:right w:w="60" w:type="dxa"/>
            </w:tcMar>
          </w:tcPr>
          <w:p>
            <w:pPr>
              <w:spacing w:after="0"/>
              <w:jc w:val="center"/>
            </w:pPr>
            <w:r>
              <w:rPr>
                <w:sz w:val="16"/>
              </w:rPr>
              <w:t>0.0%</w:t>
            </w:r>
          </w:p>
        </w:tc>
        <w:tc>
          <w:tcPr>
            <w:tcW w:type="dxa" w:w="749"/>
            <w:vAlign w:val="center"/>
            <w:tcMar>
              <w:top w:w="60" w:type="dxa"/>
              <w:left w:w="60" w:type="dxa"/>
              <w:bottom w:w="60" w:type="dxa"/>
              <w:right w:w="60" w:type="dxa"/>
            </w:tcMar>
          </w:tcPr>
          <w:p>
            <w:pPr>
              <w:spacing w:after="0"/>
              <w:jc w:val="center"/>
            </w:pPr>
            <w:r>
              <w:rPr>
                <w:sz w:val="16"/>
              </w:rPr>
              <w:t>0.0%</w:t>
            </w:r>
          </w:p>
        </w:tc>
      </w:tr>
      <w:tr>
        <w:tc>
          <w:tcPr>
            <w:tcW w:type="dxa" w:w="3312"/>
            <w:vAlign w:val="center"/>
            <w:tcMar>
              <w:top w:w="60" w:type="dxa"/>
              <w:left w:w="60" w:type="dxa"/>
              <w:bottom w:w="60" w:type="dxa"/>
              <w:right w:w="60" w:type="dxa"/>
            </w:tcMar>
          </w:tcPr>
          <w:p>
            <w:pPr>
              <w:spacing w:after="0"/>
            </w:pPr>
            <w:r>
              <w:rPr>
                <w:sz w:val="16"/>
              </w:rPr>
              <w:t>Visible + hidden + structure</w:t>
            </w:r>
          </w:p>
        </w:tc>
        <w:tc>
          <w:tcPr>
            <w:tcW w:type="dxa" w:w="1109"/>
            <w:vAlign w:val="center"/>
            <w:tcMar>
              <w:top w:w="60" w:type="dxa"/>
              <w:left w:w="60" w:type="dxa"/>
              <w:bottom w:w="60" w:type="dxa"/>
              <w:right w:w="60" w:type="dxa"/>
            </w:tcMar>
          </w:tcPr>
          <w:p>
            <w:pPr>
              <w:spacing w:after="0"/>
              <w:jc w:val="center"/>
            </w:pPr>
            <w:r>
              <w:rPr>
                <w:sz w:val="16"/>
              </w:rPr>
              <w:t>89.6%</w:t>
            </w:r>
          </w:p>
        </w:tc>
        <w:tc>
          <w:tcPr>
            <w:tcW w:type="dxa" w:w="1123"/>
            <w:vAlign w:val="center"/>
            <w:tcMar>
              <w:top w:w="60" w:type="dxa"/>
              <w:left w:w="60" w:type="dxa"/>
              <w:bottom w:w="60" w:type="dxa"/>
              <w:right w:w="60" w:type="dxa"/>
            </w:tcMar>
          </w:tcPr>
          <w:p>
            <w:pPr>
              <w:spacing w:after="0"/>
              <w:jc w:val="center"/>
            </w:pPr>
            <w:r>
              <w:rPr>
                <w:sz w:val="16"/>
              </w:rPr>
              <w:t>86.4%</w:t>
            </w:r>
          </w:p>
        </w:tc>
        <w:tc>
          <w:tcPr>
            <w:tcW w:type="dxa" w:w="965"/>
            <w:vAlign w:val="center"/>
            <w:tcMar>
              <w:top w:w="60" w:type="dxa"/>
              <w:left w:w="60" w:type="dxa"/>
              <w:bottom w:w="60" w:type="dxa"/>
              <w:right w:w="60" w:type="dxa"/>
            </w:tcMar>
          </w:tcPr>
          <w:p>
            <w:pPr>
              <w:spacing w:after="0"/>
              <w:jc w:val="center"/>
            </w:pPr>
            <w:r>
              <w:rPr>
                <w:sz w:val="16"/>
              </w:rPr>
              <w:t>99.3%</w:t>
            </w:r>
          </w:p>
        </w:tc>
        <w:tc>
          <w:tcPr>
            <w:tcW w:type="dxa" w:w="749"/>
            <w:vAlign w:val="center"/>
            <w:tcMar>
              <w:top w:w="60" w:type="dxa"/>
              <w:left w:w="60" w:type="dxa"/>
              <w:bottom w:w="60" w:type="dxa"/>
              <w:right w:w="60" w:type="dxa"/>
            </w:tcMar>
          </w:tcPr>
          <w:p>
            <w:pPr>
              <w:spacing w:after="0"/>
              <w:jc w:val="center"/>
            </w:pPr>
            <w:r>
              <w:rPr>
                <w:sz w:val="16"/>
              </w:rPr>
              <w:t>27.6%</w:t>
            </w:r>
          </w:p>
        </w:tc>
        <w:tc>
          <w:tcPr>
            <w:tcW w:type="dxa" w:w="749"/>
            <w:vAlign w:val="center"/>
            <w:tcMar>
              <w:top w:w="60" w:type="dxa"/>
              <w:left w:w="60" w:type="dxa"/>
              <w:bottom w:w="60" w:type="dxa"/>
              <w:right w:w="60" w:type="dxa"/>
            </w:tcMar>
          </w:tcPr>
          <w:p>
            <w:pPr>
              <w:spacing w:after="0"/>
              <w:jc w:val="center"/>
            </w:pPr>
            <w:r>
              <w:rPr>
                <w:sz w:val="16"/>
              </w:rPr>
              <w:t>0.7%</w:t>
            </w:r>
          </w:p>
        </w:tc>
      </w:tr>
      <w:tr>
        <w:tc>
          <w:tcPr>
            <w:tcW w:type="dxa" w:w="3312"/>
            <w:vAlign w:val="center"/>
            <w:tcMar>
              <w:top w:w="60" w:type="dxa"/>
              <w:left w:w="60" w:type="dxa"/>
              <w:bottom w:w="60" w:type="dxa"/>
              <w:right w:w="60" w:type="dxa"/>
            </w:tcMar>
          </w:tcPr>
          <w:p>
            <w:pPr>
              <w:spacing w:after="0"/>
            </w:pPr>
            <w:r>
              <w:rPr>
                <w:sz w:val="16"/>
              </w:rPr>
              <w:t>Full VERA-SE</w:t>
            </w:r>
          </w:p>
        </w:tc>
        <w:tc>
          <w:tcPr>
            <w:tcW w:type="dxa" w:w="1109"/>
            <w:vAlign w:val="center"/>
            <w:tcMar>
              <w:top w:w="60" w:type="dxa"/>
              <w:left w:w="60" w:type="dxa"/>
              <w:bottom w:w="60" w:type="dxa"/>
              <w:right w:w="60" w:type="dxa"/>
            </w:tcMar>
          </w:tcPr>
          <w:p>
            <w:pPr>
              <w:spacing w:after="0"/>
              <w:jc w:val="center"/>
            </w:pPr>
            <w:r>
              <w:rPr>
                <w:sz w:val="16"/>
              </w:rPr>
              <w:t>99.6%</w:t>
            </w:r>
          </w:p>
        </w:tc>
        <w:tc>
          <w:tcPr>
            <w:tcW w:type="dxa" w:w="1123"/>
            <w:vAlign w:val="center"/>
            <w:tcMar>
              <w:top w:w="60" w:type="dxa"/>
              <w:left w:w="60" w:type="dxa"/>
              <w:bottom w:w="60" w:type="dxa"/>
              <w:right w:w="60" w:type="dxa"/>
            </w:tcMar>
          </w:tcPr>
          <w:p>
            <w:pPr>
              <w:spacing w:after="0"/>
              <w:jc w:val="center"/>
            </w:pPr>
            <w:r>
              <w:rPr>
                <w:sz w:val="16"/>
              </w:rPr>
              <w:t>100.0%</w:t>
            </w:r>
          </w:p>
        </w:tc>
        <w:tc>
          <w:tcPr>
            <w:tcW w:type="dxa" w:w="965"/>
            <w:vAlign w:val="center"/>
            <w:tcMar>
              <w:top w:w="60" w:type="dxa"/>
              <w:left w:w="60" w:type="dxa"/>
              <w:bottom w:w="60" w:type="dxa"/>
              <w:right w:w="60" w:type="dxa"/>
            </w:tcMar>
          </w:tcPr>
          <w:p>
            <w:pPr>
              <w:spacing w:after="0"/>
              <w:jc w:val="center"/>
            </w:pPr>
            <w:r>
              <w:rPr>
                <w:sz w:val="16"/>
              </w:rPr>
              <w:t>99.3%</w:t>
            </w:r>
          </w:p>
        </w:tc>
        <w:tc>
          <w:tcPr>
            <w:tcW w:type="dxa" w:w="749"/>
            <w:vAlign w:val="center"/>
            <w:tcMar>
              <w:top w:w="60" w:type="dxa"/>
              <w:left w:w="60" w:type="dxa"/>
              <w:bottom w:w="60" w:type="dxa"/>
              <w:right w:w="60" w:type="dxa"/>
            </w:tcMar>
          </w:tcPr>
          <w:p>
            <w:pPr>
              <w:spacing w:after="0"/>
              <w:jc w:val="center"/>
            </w:pPr>
            <w:r>
              <w:rPr>
                <w:sz w:val="16"/>
              </w:rPr>
              <w:t>0.0%</w:t>
            </w:r>
          </w:p>
        </w:tc>
        <w:tc>
          <w:tcPr>
            <w:tcW w:type="dxa" w:w="749"/>
            <w:vAlign w:val="center"/>
            <w:tcMar>
              <w:top w:w="60" w:type="dxa"/>
              <w:left w:w="60" w:type="dxa"/>
              <w:bottom w:w="60" w:type="dxa"/>
              <w:right w:w="60" w:type="dxa"/>
            </w:tcMar>
          </w:tcPr>
          <w:p>
            <w:pPr>
              <w:spacing w:after="0"/>
              <w:jc w:val="center"/>
            </w:pPr>
            <w:r>
              <w:rPr>
                <w:sz w:val="16"/>
              </w:rPr>
              <w:t>0.7%</w:t>
            </w:r>
          </w:p>
        </w:tc>
      </w:tr>
    </w:tbl>
    <w:p>
      <w:pPr/>
      <w:r>
        <w:t>Visible-only validation falsely accepted 65 of the 87 incorrect candidates. Adding hidden tests reduced the number of false acceptances to 24, corresponding to an FAR of 27.6%.</w:t>
      </w:r>
    </w:p>
    <w:p>
      <w:pPr/>
      <w:r>
        <w:t>The configuration combining visible tests, hidden tests, and behavioral preservation checks accepted all 153 correct candidates and rejected all 87 incorrect candidates in this controlled dataset. It therefore achieved zero observed false acceptance and zero observed false rejection.</w:t>
      </w:r>
    </w:p>
    <w:p>
      <w:pPr/>
      <w:r>
        <w:t>Adding structural verification without behavioral preservation did not further reduce false acceptance relative to visible-plus-hidden validation. It rejected one correct candidate, producing an FRR of 0.7%. The full VERA-SE configuration eliminated all 24 remaining false acceptances but retained the single false rejection associated with structural verification.</w:t>
      </w:r>
    </w:p>
    <w:p>
      <w:pPr/>
      <w:r>
        <w:t>These findings indicate that task-specific behavioral preservation checks account for the observed reduction in false acceptance beyond additional testing. Structural constraints provided repair-scope evidence but did not independently improve discrimination of incorrect patches in this benchmark. The results concern repeated candidate instances from six controlled tasks, not independent real-world defects.</w:t>
      </w:r>
    </w:p>
    <w:p>
      <w:pPr>
        <w:pStyle w:val="Heading2"/>
      </w:pPr>
      <w:r>
        <w:t>5.3 Real-World Generation Outcomes</w:t>
      </w:r>
    </w:p>
    <w:p>
      <w:pPr>
        <w:pStyle w:val="Caption"/>
        <w:keepNext w:val="0"/>
        <w:jc w:val="center"/>
      </w:pPr>
      <w:r>
        <w:t>Table 3. Real-world pilot generation summary.</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AF0F6"/>
          </w:tcPr>
          <w:p>
            <w:pPr>
              <w:keepLines/>
              <w:spacing w:after="0"/>
            </w:pPr>
            <w:r>
              <w:rPr>
                <w:b/>
                <w:sz w:val="16"/>
              </w:rPr>
              <w:t>Measure</w:t>
            </w:r>
          </w:p>
        </w:tc>
        <w:tc>
          <w:tcPr>
            <w:tcW w:type="dxa" w:w="4824"/>
            <w:vAlign w:val="center"/>
            <w:shd w:fill="EAF0F6"/>
          </w:tcPr>
          <w:p>
            <w:pPr>
              <w:keepLines/>
              <w:spacing w:after="0"/>
            </w:pPr>
            <w:r>
              <w:rPr>
                <w:b/>
                <w:sz w:val="16"/>
              </w:rPr>
              <w:t>Observed value</w:t>
            </w:r>
          </w:p>
        </w:tc>
        <w:trPr>
          <w:tblHeader/>
        </w:trPr>
      </w:tr>
      <w:tr>
        <w:tc>
          <w:tcPr>
            <w:tcW w:type="dxa" w:w="4824"/>
            <w:vAlign w:val="center"/>
          </w:tcPr>
          <w:p>
            <w:pPr>
              <w:keepLines/>
              <w:spacing w:after="0"/>
            </w:pPr>
            <w:r>
              <w:rPr>
                <w:sz w:val="16"/>
              </w:rPr>
              <w:t>Localized Black defects</w:t>
            </w:r>
          </w:p>
        </w:tc>
        <w:tc>
          <w:tcPr>
            <w:tcW w:type="dxa" w:w="4824"/>
            <w:vAlign w:val="center"/>
          </w:tcPr>
          <w:p>
            <w:pPr>
              <w:keepLines/>
              <w:spacing w:after="0"/>
            </w:pPr>
            <w:r>
              <w:rPr>
                <w:sz w:val="16"/>
              </w:rPr>
              <w:t>10</w:t>
            </w:r>
          </w:p>
        </w:tc>
      </w:tr>
      <w:tr>
        <w:tc>
          <w:tcPr>
            <w:tcW w:type="dxa" w:w="4824"/>
            <w:vAlign w:val="center"/>
          </w:tcPr>
          <w:p>
            <w:pPr>
              <w:keepLines/>
              <w:spacing w:after="0"/>
            </w:pPr>
            <w:r>
              <w:rPr>
                <w:sz w:val="16"/>
              </w:rPr>
              <w:t>Requested generations</w:t>
            </w:r>
          </w:p>
        </w:tc>
        <w:tc>
          <w:tcPr>
            <w:tcW w:type="dxa" w:w="4824"/>
            <w:vAlign w:val="center"/>
          </w:tcPr>
          <w:p>
            <w:pPr>
              <w:keepLines/>
              <w:spacing w:after="0"/>
            </w:pPr>
            <w:r>
              <w:rPr>
                <w:sz w:val="16"/>
              </w:rPr>
              <w:t>40</w:t>
            </w:r>
          </w:p>
        </w:tc>
      </w:tr>
      <w:tr>
        <w:tc>
          <w:tcPr>
            <w:tcW w:type="dxa" w:w="4824"/>
            <w:vAlign w:val="center"/>
          </w:tcPr>
          <w:p>
            <w:pPr>
              <w:keepLines/>
              <w:spacing w:after="0"/>
            </w:pPr>
            <w:r>
              <w:rPr>
                <w:sz w:val="16"/>
              </w:rPr>
              <w:t>Valid candidate instances</w:t>
            </w:r>
          </w:p>
        </w:tc>
        <w:tc>
          <w:tcPr>
            <w:tcW w:type="dxa" w:w="4824"/>
            <w:vAlign w:val="center"/>
          </w:tcPr>
          <w:p>
            <w:pPr>
              <w:keepLines/>
              <w:spacing w:after="0"/>
            </w:pPr>
            <w:r>
              <w:rPr>
                <w:sz w:val="16"/>
              </w:rPr>
              <w:t>28</w:t>
            </w:r>
          </w:p>
        </w:tc>
      </w:tr>
      <w:tr>
        <w:tc>
          <w:tcPr>
            <w:tcW w:type="dxa" w:w="4824"/>
            <w:vAlign w:val="center"/>
          </w:tcPr>
          <w:p>
            <w:pPr>
              <w:keepLines/>
              <w:spacing w:after="0"/>
            </w:pPr>
            <w:r>
              <w:rPr>
                <w:sz w:val="16"/>
              </w:rPr>
              <w:t>Unique full patched-source hashes</w:t>
            </w:r>
          </w:p>
        </w:tc>
        <w:tc>
          <w:tcPr>
            <w:tcW w:type="dxa" w:w="4824"/>
            <w:vAlign w:val="center"/>
          </w:tcPr>
          <w:p>
            <w:pPr>
              <w:keepLines/>
              <w:spacing w:after="0"/>
            </w:pPr>
            <w:r>
              <w:rPr>
                <w:sz w:val="16"/>
              </w:rPr>
              <w:t>27</w:t>
            </w:r>
          </w:p>
        </w:tc>
      </w:tr>
      <w:tr>
        <w:tc>
          <w:tcPr>
            <w:tcW w:type="dxa" w:w="4824"/>
            <w:vAlign w:val="center"/>
          </w:tcPr>
          <w:p>
            <w:pPr>
              <w:keepLines/>
              <w:spacing w:after="0"/>
            </w:pPr>
            <w:r>
              <w:rPr>
                <w:sz w:val="16"/>
              </w:rPr>
              <w:t>Valid-generation rate</w:t>
            </w:r>
          </w:p>
        </w:tc>
        <w:tc>
          <w:tcPr>
            <w:tcW w:type="dxa" w:w="4824"/>
            <w:vAlign w:val="center"/>
          </w:tcPr>
          <w:p>
            <w:pPr>
              <w:keepLines/>
              <w:spacing w:after="0"/>
            </w:pPr>
            <w:r>
              <w:rPr>
                <w:sz w:val="16"/>
              </w:rPr>
              <w:t>70.0%</w:t>
            </w:r>
          </w:p>
        </w:tc>
      </w:tr>
      <w:tr>
        <w:tc>
          <w:tcPr>
            <w:tcW w:type="dxa" w:w="4824"/>
            <w:vAlign w:val="center"/>
          </w:tcPr>
          <w:p>
            <w:pPr>
              <w:keepLines/>
              <w:spacing w:after="0"/>
            </w:pPr>
            <w:r>
              <w:rPr>
                <w:sz w:val="16"/>
              </w:rPr>
              <w:t>Tasks with ≥1 valid candidate</w:t>
            </w:r>
          </w:p>
        </w:tc>
        <w:tc>
          <w:tcPr>
            <w:tcW w:type="dxa" w:w="4824"/>
            <w:vAlign w:val="center"/>
          </w:tcPr>
          <w:p>
            <w:pPr>
              <w:keepLines/>
              <w:spacing w:after="0"/>
            </w:pPr>
            <w:r>
              <w:rPr>
                <w:sz w:val="16"/>
              </w:rPr>
              <w:t>8/10</w:t>
            </w:r>
          </w:p>
        </w:tc>
      </w:tr>
      <w:tr>
        <w:tc>
          <w:tcPr>
            <w:tcW w:type="dxa" w:w="4824"/>
            <w:vAlign w:val="center"/>
          </w:tcPr>
          <w:p>
            <w:pPr>
              <w:keepLines/>
              <w:spacing w:after="0"/>
            </w:pPr>
            <w:r>
              <w:rPr>
                <w:sz w:val="16"/>
              </w:rPr>
              <w:t>Oracle-positive candidate instances</w:t>
            </w:r>
          </w:p>
        </w:tc>
        <w:tc>
          <w:tcPr>
            <w:tcW w:type="dxa" w:w="4824"/>
            <w:vAlign w:val="center"/>
          </w:tcPr>
          <w:p>
            <w:pPr>
              <w:keepLines/>
              <w:spacing w:after="0"/>
            </w:pPr>
            <w:r>
              <w:rPr>
                <w:sz w:val="16"/>
              </w:rPr>
              <w:t>1</w:t>
            </w:r>
          </w:p>
        </w:tc>
      </w:tr>
    </w:tbl>
    <w:p>
      <w:pPr>
        <w:spacing w:after="20"/>
      </w:pPr>
    </w:p>
    <w:p>
      <w:r>
        <w:t>Black-13 and Black-16 each yielded zero valid candidates in four requested generations. Black-1 and Black-8 yielded three each, Black-14 yielded two, and the remaining five tasks yielded four each. Invalid generations are included in the requested-generation denominator, whereas subsequent classification metrics are calculated over the 28 valid candidate instances.</w:t>
      </w:r>
    </w:p>
    <w:p>
      <w:pPr>
        <w:pStyle w:val="Heading2"/>
      </w:pPr>
      <w:r>
        <w:t>5.4 Real-World Verification Outcomes</w:t>
      </w:r>
    </w:p>
    <w:p>
      <w:pPr>
        <w:pStyle w:val="Caption"/>
        <w:keepNext w:val="0"/>
        <w:jc w:val="center"/>
      </w:pPr>
      <w:r>
        <w:t>Table 4. Real-world pilot: candidate-level classification (28 valid instances).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EAF0F6"/>
          </w:tcPr>
          <w:p>
            <w:pPr>
              <w:keepLines/>
              <w:spacing w:after="0"/>
            </w:pPr>
            <w:r>
              <w:rPr>
                <w:b/>
                <w:sz w:val="16"/>
              </w:rPr>
              <w:t>Metric</w:t>
            </w:r>
          </w:p>
        </w:tc>
        <w:tc>
          <w:tcPr>
            <w:tcW w:type="dxa" w:w="3216"/>
            <w:vAlign w:val="center"/>
            <w:shd w:fill="EAF0F6"/>
          </w:tcPr>
          <w:p>
            <w:pPr>
              <w:keepLines/>
              <w:spacing w:after="0"/>
            </w:pPr>
            <w:r>
              <w:rPr>
                <w:b/>
                <w:sz w:val="16"/>
              </w:rPr>
              <w:t>Visible baseline</w:t>
            </w:r>
          </w:p>
        </w:tc>
        <w:tc>
          <w:tcPr>
            <w:tcW w:type="dxa" w:w="3216"/>
            <w:vAlign w:val="center"/>
            <w:shd w:fill="EAF0F6"/>
          </w:tcPr>
          <w:p>
            <w:pPr>
              <w:keepLines/>
              <w:spacing w:after="0"/>
            </w:pPr>
            <w:r>
              <w:rPr>
                <w:b/>
                <w:sz w:val="16"/>
              </w:rPr>
              <w:t>VERA-SE</w:t>
            </w:r>
          </w:p>
        </w:tc>
        <w:trPr>
          <w:tblHeader/>
        </w:trPr>
      </w:tr>
      <w:tr>
        <w:tc>
          <w:tcPr>
            <w:tcW w:type="dxa" w:w="3216"/>
            <w:vAlign w:val="center"/>
          </w:tcPr>
          <w:p>
            <w:pPr>
              <w:keepLines/>
              <w:spacing w:after="0"/>
            </w:pPr>
            <w:r>
              <w:rPr>
                <w:sz w:val="16"/>
              </w:rPr>
              <w:t>TP</w:t>
            </w:r>
          </w:p>
        </w:tc>
        <w:tc>
          <w:tcPr>
            <w:tcW w:type="dxa" w:w="3216"/>
            <w:vAlign w:val="center"/>
          </w:tcPr>
          <w:p>
            <w:pPr>
              <w:keepLines/>
              <w:spacing w:after="0"/>
            </w:pPr>
            <w:r>
              <w:rPr>
                <w:sz w:val="16"/>
              </w:rPr>
              <w:t>1</w:t>
            </w:r>
          </w:p>
        </w:tc>
        <w:tc>
          <w:tcPr>
            <w:tcW w:type="dxa" w:w="3216"/>
            <w:vAlign w:val="center"/>
          </w:tcPr>
          <w:p>
            <w:pPr>
              <w:keepLines/>
              <w:spacing w:after="0"/>
            </w:pPr>
            <w:r>
              <w:rPr>
                <w:sz w:val="16"/>
              </w:rPr>
              <w:t>0</w:t>
            </w:r>
          </w:p>
        </w:tc>
      </w:tr>
      <w:tr>
        <w:tc>
          <w:tcPr>
            <w:tcW w:type="dxa" w:w="3216"/>
            <w:vAlign w:val="center"/>
          </w:tcPr>
          <w:p>
            <w:pPr>
              <w:keepLines/>
              <w:spacing w:after="0"/>
            </w:pPr>
            <w:r>
              <w:rPr>
                <w:sz w:val="16"/>
              </w:rPr>
              <w:t>FP</w:t>
            </w:r>
          </w:p>
        </w:tc>
        <w:tc>
          <w:tcPr>
            <w:tcW w:type="dxa" w:w="3216"/>
            <w:vAlign w:val="center"/>
          </w:tcPr>
          <w:p>
            <w:pPr>
              <w:keepLines/>
              <w:spacing w:after="0"/>
            </w:pPr>
            <w:r>
              <w:rPr>
                <w:sz w:val="16"/>
              </w:rPr>
              <w:t>1</w:t>
            </w:r>
          </w:p>
        </w:tc>
        <w:tc>
          <w:tcPr>
            <w:tcW w:type="dxa" w:w="3216"/>
            <w:vAlign w:val="center"/>
          </w:tcPr>
          <w:p>
            <w:pPr>
              <w:keepLines/>
              <w:spacing w:after="0"/>
            </w:pPr>
            <w:r>
              <w:rPr>
                <w:sz w:val="16"/>
              </w:rPr>
              <w:t>1</w:t>
            </w:r>
          </w:p>
        </w:tc>
      </w:tr>
      <w:tr>
        <w:tc>
          <w:tcPr>
            <w:tcW w:type="dxa" w:w="3216"/>
            <w:vAlign w:val="center"/>
          </w:tcPr>
          <w:p>
            <w:pPr>
              <w:keepLines/>
              <w:spacing w:after="0"/>
            </w:pPr>
            <w:r>
              <w:rPr>
                <w:sz w:val="16"/>
              </w:rPr>
              <w:t>TN</w:t>
            </w:r>
          </w:p>
        </w:tc>
        <w:tc>
          <w:tcPr>
            <w:tcW w:type="dxa" w:w="3216"/>
            <w:vAlign w:val="center"/>
          </w:tcPr>
          <w:p>
            <w:pPr>
              <w:keepLines/>
              <w:spacing w:after="0"/>
            </w:pPr>
            <w:r>
              <w:rPr>
                <w:sz w:val="16"/>
              </w:rPr>
              <w:t>26</w:t>
            </w:r>
          </w:p>
        </w:tc>
        <w:tc>
          <w:tcPr>
            <w:tcW w:type="dxa" w:w="3216"/>
            <w:vAlign w:val="center"/>
          </w:tcPr>
          <w:p>
            <w:pPr>
              <w:keepLines/>
              <w:spacing w:after="0"/>
            </w:pPr>
            <w:r>
              <w:rPr>
                <w:sz w:val="16"/>
              </w:rPr>
              <w:t>26</w:t>
            </w:r>
          </w:p>
        </w:tc>
      </w:tr>
      <w:tr>
        <w:tc>
          <w:tcPr>
            <w:tcW w:type="dxa" w:w="3216"/>
            <w:vAlign w:val="center"/>
          </w:tcPr>
          <w:p>
            <w:pPr>
              <w:keepLines/>
              <w:spacing w:after="0"/>
            </w:pPr>
            <w:r>
              <w:rPr>
                <w:sz w:val="16"/>
              </w:rPr>
              <w:t>FN</w:t>
            </w:r>
          </w:p>
        </w:tc>
        <w:tc>
          <w:tcPr>
            <w:tcW w:type="dxa" w:w="3216"/>
            <w:vAlign w:val="center"/>
          </w:tcPr>
          <w:p>
            <w:pPr>
              <w:keepLines/>
              <w:spacing w:after="0"/>
            </w:pPr>
            <w:r>
              <w:rPr>
                <w:sz w:val="16"/>
              </w:rPr>
              <w:t>0</w:t>
            </w:r>
          </w:p>
        </w:tc>
        <w:tc>
          <w:tcPr>
            <w:tcW w:type="dxa" w:w="3216"/>
            <w:vAlign w:val="center"/>
          </w:tcPr>
          <w:p>
            <w:pPr>
              <w:keepLines/>
              <w:spacing w:after="0"/>
            </w:pPr>
            <w:r>
              <w:rPr>
                <w:sz w:val="16"/>
              </w:rPr>
              <w:t>1</w:t>
            </w:r>
          </w:p>
        </w:tc>
      </w:tr>
      <w:tr>
        <w:tc>
          <w:tcPr>
            <w:tcW w:type="dxa" w:w="3216"/>
            <w:vAlign w:val="center"/>
          </w:tcPr>
          <w:p>
            <w:pPr>
              <w:keepLines/>
              <w:spacing w:after="0"/>
            </w:pPr>
            <w:r>
              <w:rPr>
                <w:sz w:val="16"/>
              </w:rPr>
              <w:t>Accuracy</w:t>
            </w:r>
          </w:p>
        </w:tc>
        <w:tc>
          <w:tcPr>
            <w:tcW w:type="dxa" w:w="3216"/>
            <w:vAlign w:val="center"/>
          </w:tcPr>
          <w:p>
            <w:pPr>
              <w:keepLines/>
              <w:spacing w:after="0"/>
            </w:pPr>
            <w:r>
              <w:rPr>
                <w:sz w:val="16"/>
              </w:rPr>
              <w:t>96.4%</w:t>
            </w:r>
          </w:p>
        </w:tc>
        <w:tc>
          <w:tcPr>
            <w:tcW w:type="dxa" w:w="3216"/>
            <w:vAlign w:val="center"/>
          </w:tcPr>
          <w:p>
            <w:pPr>
              <w:keepLines/>
              <w:spacing w:after="0"/>
            </w:pPr>
            <w:r>
              <w:rPr>
                <w:sz w:val="16"/>
              </w:rPr>
              <w:t>92.9%</w:t>
            </w:r>
          </w:p>
        </w:tc>
      </w:tr>
      <w:tr>
        <w:tc>
          <w:tcPr>
            <w:tcW w:type="dxa" w:w="3216"/>
            <w:vAlign w:val="center"/>
          </w:tcPr>
          <w:p>
            <w:pPr>
              <w:keepLines/>
              <w:spacing w:after="0"/>
            </w:pPr>
            <w:r>
              <w:rPr>
                <w:sz w:val="16"/>
              </w:rPr>
              <w:t>Precision</w:t>
            </w:r>
          </w:p>
        </w:tc>
        <w:tc>
          <w:tcPr>
            <w:tcW w:type="dxa" w:w="3216"/>
            <w:vAlign w:val="center"/>
          </w:tcPr>
          <w:p>
            <w:pPr>
              <w:keepLines/>
              <w:spacing w:after="0"/>
            </w:pPr>
            <w:r>
              <w:rPr>
                <w:sz w:val="16"/>
              </w:rPr>
              <w:t>50.0%</w:t>
            </w:r>
          </w:p>
        </w:tc>
        <w:tc>
          <w:tcPr>
            <w:tcW w:type="dxa" w:w="3216"/>
            <w:vAlign w:val="center"/>
          </w:tcPr>
          <w:p>
            <w:pPr>
              <w:keepLines/>
              <w:spacing w:after="0"/>
            </w:pPr>
            <w:r>
              <w:rPr>
                <w:sz w:val="16"/>
              </w:rPr>
              <w:t>0.0%</w:t>
            </w:r>
          </w:p>
        </w:tc>
      </w:tr>
      <w:tr>
        <w:tc>
          <w:tcPr>
            <w:tcW w:type="dxa" w:w="3216"/>
            <w:vAlign w:val="center"/>
          </w:tcPr>
          <w:p>
            <w:pPr>
              <w:keepLines/>
              <w:spacing w:after="0"/>
            </w:pPr>
            <w:r>
              <w:rPr>
                <w:sz w:val="16"/>
              </w:rPr>
              <w:t>Recall</w:t>
            </w:r>
          </w:p>
        </w:tc>
        <w:tc>
          <w:tcPr>
            <w:tcW w:type="dxa" w:w="3216"/>
            <w:vAlign w:val="center"/>
          </w:tcPr>
          <w:p>
            <w:pPr>
              <w:keepLines/>
              <w:spacing w:after="0"/>
            </w:pPr>
            <w:r>
              <w:rPr>
                <w:sz w:val="16"/>
              </w:rPr>
              <w:t>100.0%</w:t>
            </w:r>
          </w:p>
        </w:tc>
        <w:tc>
          <w:tcPr>
            <w:tcW w:type="dxa" w:w="3216"/>
            <w:vAlign w:val="center"/>
          </w:tcPr>
          <w:p>
            <w:pPr>
              <w:keepLines/>
              <w:spacing w:after="0"/>
            </w:pPr>
            <w:r>
              <w:rPr>
                <w:sz w:val="16"/>
              </w:rPr>
              <w:t>0.0%</w:t>
            </w:r>
          </w:p>
        </w:tc>
      </w:tr>
      <w:tr>
        <w:tc>
          <w:tcPr>
            <w:tcW w:type="dxa" w:w="3216"/>
            <w:vAlign w:val="center"/>
          </w:tcPr>
          <w:p>
            <w:pPr>
              <w:keepLines/>
              <w:spacing w:after="0"/>
            </w:pPr>
            <w:r>
              <w:rPr>
                <w:sz w:val="16"/>
              </w:rPr>
              <w:t>FAR</w:t>
            </w:r>
          </w:p>
        </w:tc>
        <w:tc>
          <w:tcPr>
            <w:tcW w:type="dxa" w:w="3216"/>
            <w:vAlign w:val="center"/>
          </w:tcPr>
          <w:p>
            <w:pPr>
              <w:keepLines/>
              <w:spacing w:after="0"/>
            </w:pPr>
            <w:r>
              <w:rPr>
                <w:sz w:val="16"/>
              </w:rPr>
              <w:t>3.7%</w:t>
            </w:r>
          </w:p>
        </w:tc>
        <w:tc>
          <w:tcPr>
            <w:tcW w:type="dxa" w:w="3216"/>
            <w:vAlign w:val="center"/>
          </w:tcPr>
          <w:p>
            <w:pPr>
              <w:keepLines/>
              <w:spacing w:after="0"/>
            </w:pPr>
            <w:r>
              <w:rPr>
                <w:sz w:val="16"/>
              </w:rPr>
              <w:t>3.7%</w:t>
            </w:r>
          </w:p>
        </w:tc>
      </w:tr>
      <w:tr>
        <w:tc>
          <w:tcPr>
            <w:tcW w:type="dxa" w:w="3216"/>
            <w:vAlign w:val="center"/>
          </w:tcPr>
          <w:p>
            <w:pPr>
              <w:keepLines/>
              <w:spacing w:after="0"/>
            </w:pPr>
            <w:r>
              <w:rPr>
                <w:sz w:val="16"/>
              </w:rPr>
              <w:t>FRR</w:t>
            </w:r>
          </w:p>
        </w:tc>
        <w:tc>
          <w:tcPr>
            <w:tcW w:type="dxa" w:w="3216"/>
            <w:vAlign w:val="center"/>
          </w:tcPr>
          <w:p>
            <w:pPr>
              <w:keepLines/>
              <w:spacing w:after="0"/>
            </w:pPr>
            <w:r>
              <w:rPr>
                <w:sz w:val="16"/>
              </w:rPr>
              <w:t>0.0%</w:t>
            </w:r>
          </w:p>
        </w:tc>
        <w:tc>
          <w:tcPr>
            <w:tcW w:type="dxa" w:w="3216"/>
            <w:vAlign w:val="center"/>
          </w:tcPr>
          <w:p>
            <w:pPr>
              <w:keepLines/>
              <w:spacing w:after="0"/>
            </w:pPr>
            <w:r>
              <w:rPr>
                <w:sz w:val="16"/>
              </w:rPr>
              <w:t>100.0%</w:t>
            </w:r>
          </w:p>
        </w:tc>
      </w:tr>
    </w:tbl>
    <w:p>
      <w:pPr>
        <w:spacing w:after="20"/>
      </w:pPr>
    </w:p>
    <w:p>
      <w:r>
        <w:t>The visible baseline accepted two candidates: one oracle-positive and one oracle-negative. VERA-SE accepted one oracle-negative candidate and rejected the only oracle-positive candidate. Its observed false-acceptance rate therefore equaled, rather than improved upon, the visible baseline in this pilot. Recall and FRR are each determined by a single positive instance and are not stable population estimates.</w:t>
      </w:r>
    </w:p>
    <w:p>
      <w:pPr>
        <w:pStyle w:val="Heading2"/>
      </w:pPr>
      <w:r>
        <w:t>5.5 Black-9: A Correct Patch Rejected by the Risk Gate</w:t>
      </w:r>
    </w:p>
    <w:p>
      <w:r>
        <w:t>Black-9 contains the only oracle-positive patch in the frozen real-world pilot. Candidate 2 passed the visible test and was accepted by VERA-SE with score 0.945 and normalized risk 0.364, but passed only one of three held-out oracle tests. Candidate 4 passed the visible test and all three oracle tests, receiving score 0.905, but its risk 0.636 exceeded the mandatory maximum of 0.50. The gate rejected it despite its higher held-out correctness label.</w:t>
      </w:r>
    </w:p>
    <w:p>
      <w:pPr>
        <w:pStyle w:val="Caption"/>
        <w:keepNext w:val="0"/>
        <w:jc w:val="center"/>
      </w:pPr>
      <w:r>
        <w:t>Table 5. Black-9 case study.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EAF0F6"/>
          </w:tcPr>
          <w:p>
            <w:pPr>
              <w:keepLines/>
              <w:spacing w:after="0"/>
            </w:pPr>
            <w:r>
              <w:rPr>
                <w:b/>
                <w:sz w:val="16"/>
              </w:rPr>
              <w:t>Candidate</w:t>
            </w:r>
          </w:p>
        </w:tc>
        <w:tc>
          <w:tcPr>
            <w:tcW w:type="dxa" w:w="1930"/>
            <w:vAlign w:val="center"/>
            <w:shd w:fill="EAF0F6"/>
          </w:tcPr>
          <w:p>
            <w:pPr>
              <w:keepLines/>
              <w:spacing w:after="0"/>
            </w:pPr>
            <w:r>
              <w:rPr>
                <w:b/>
                <w:sz w:val="16"/>
              </w:rPr>
              <w:t>Visible</w:t>
            </w:r>
          </w:p>
        </w:tc>
        <w:tc>
          <w:tcPr>
            <w:tcW w:type="dxa" w:w="1930"/>
            <w:vAlign w:val="center"/>
            <w:shd w:fill="EAF0F6"/>
          </w:tcPr>
          <w:p>
            <w:pPr>
              <w:keepLines/>
              <w:spacing w:after="0"/>
            </w:pPr>
            <w:r>
              <w:rPr>
                <w:b/>
                <w:sz w:val="16"/>
              </w:rPr>
              <w:t>Risk</w:t>
            </w:r>
          </w:p>
        </w:tc>
        <w:tc>
          <w:tcPr>
            <w:tcW w:type="dxa" w:w="1930"/>
            <w:vAlign w:val="center"/>
            <w:shd w:fill="EAF0F6"/>
          </w:tcPr>
          <w:p>
            <w:pPr>
              <w:keepLines/>
              <w:spacing w:after="0"/>
            </w:pPr>
            <w:r>
              <w:rPr>
                <w:b/>
                <w:sz w:val="16"/>
              </w:rPr>
              <w:t>VERA decision</w:t>
            </w:r>
          </w:p>
        </w:tc>
        <w:tc>
          <w:tcPr>
            <w:tcW w:type="dxa" w:w="1930"/>
            <w:vAlign w:val="center"/>
            <w:shd w:fill="EAF0F6"/>
          </w:tcPr>
          <w:p>
            <w:pPr>
              <w:keepLines/>
              <w:spacing w:after="0"/>
            </w:pPr>
            <w:r>
              <w:rPr>
                <w:b/>
                <w:sz w:val="16"/>
              </w:rPr>
              <w:t>Oracle</w:t>
            </w:r>
          </w:p>
        </w:tc>
        <w:trPr>
          <w:tblHeader/>
        </w:trPr>
      </w:tr>
      <w:tr>
        <w:tc>
          <w:tcPr>
            <w:tcW w:type="dxa" w:w="1930"/>
            <w:vAlign w:val="center"/>
          </w:tcPr>
          <w:p>
            <w:pPr>
              <w:keepLines/>
              <w:spacing w:after="0"/>
            </w:pPr>
            <w:r>
              <w:rPr>
                <w:sz w:val="16"/>
              </w:rPr>
              <w:t>2</w:t>
            </w:r>
          </w:p>
        </w:tc>
        <w:tc>
          <w:tcPr>
            <w:tcW w:type="dxa" w:w="1930"/>
            <w:vAlign w:val="center"/>
          </w:tcPr>
          <w:p>
            <w:pPr>
              <w:keepLines/>
              <w:spacing w:after="0"/>
            </w:pPr>
            <w:r>
              <w:rPr>
                <w:sz w:val="16"/>
              </w:rPr>
              <w:t>Pass</w:t>
            </w:r>
          </w:p>
        </w:tc>
        <w:tc>
          <w:tcPr>
            <w:tcW w:type="dxa" w:w="1930"/>
            <w:vAlign w:val="center"/>
          </w:tcPr>
          <w:p>
            <w:pPr>
              <w:keepLines/>
              <w:spacing w:after="0"/>
            </w:pPr>
            <w:r>
              <w:rPr>
                <w:sz w:val="16"/>
              </w:rPr>
              <w:t>0.364</w:t>
            </w:r>
          </w:p>
        </w:tc>
        <w:tc>
          <w:tcPr>
            <w:tcW w:type="dxa" w:w="1930"/>
            <w:vAlign w:val="center"/>
          </w:tcPr>
          <w:p>
            <w:pPr>
              <w:keepLines/>
              <w:spacing w:after="0"/>
            </w:pPr>
            <w:r>
              <w:rPr>
                <w:sz w:val="16"/>
              </w:rPr>
              <w:t>Accept</w:t>
            </w:r>
          </w:p>
        </w:tc>
        <w:tc>
          <w:tcPr>
            <w:tcW w:type="dxa" w:w="1930"/>
            <w:vAlign w:val="center"/>
          </w:tcPr>
          <w:p>
            <w:pPr>
              <w:keepLines/>
              <w:spacing w:after="0"/>
            </w:pPr>
            <w:r>
              <w:rPr>
                <w:sz w:val="16"/>
              </w:rPr>
              <w:t>Incorrect (1/3 passed)</w:t>
            </w:r>
          </w:p>
        </w:tc>
      </w:tr>
      <w:tr>
        <w:tc>
          <w:tcPr>
            <w:tcW w:type="dxa" w:w="1930"/>
            <w:vAlign w:val="center"/>
          </w:tcPr>
          <w:p>
            <w:pPr>
              <w:keepLines/>
              <w:spacing w:after="0"/>
            </w:pPr>
            <w:r>
              <w:rPr>
                <w:sz w:val="16"/>
              </w:rPr>
              <w:t>4</w:t>
            </w:r>
          </w:p>
        </w:tc>
        <w:tc>
          <w:tcPr>
            <w:tcW w:type="dxa" w:w="1930"/>
            <w:vAlign w:val="center"/>
          </w:tcPr>
          <w:p>
            <w:pPr>
              <w:keepLines/>
              <w:spacing w:after="0"/>
            </w:pPr>
            <w:r>
              <w:rPr>
                <w:sz w:val="16"/>
              </w:rPr>
              <w:t>Pass</w:t>
            </w:r>
          </w:p>
        </w:tc>
        <w:tc>
          <w:tcPr>
            <w:tcW w:type="dxa" w:w="1930"/>
            <w:vAlign w:val="center"/>
          </w:tcPr>
          <w:p>
            <w:pPr>
              <w:keepLines/>
              <w:spacing w:after="0"/>
            </w:pPr>
            <w:r>
              <w:rPr>
                <w:sz w:val="16"/>
              </w:rPr>
              <w:t>0.636</w:t>
            </w:r>
          </w:p>
        </w:tc>
        <w:tc>
          <w:tcPr>
            <w:tcW w:type="dxa" w:w="1930"/>
            <w:vAlign w:val="center"/>
          </w:tcPr>
          <w:p>
            <w:pPr>
              <w:keepLines/>
              <w:spacing w:after="0"/>
            </w:pPr>
            <w:r>
              <w:rPr>
                <w:sz w:val="16"/>
              </w:rPr>
              <w:t>Reject</w:t>
            </w:r>
          </w:p>
        </w:tc>
        <w:tc>
          <w:tcPr>
            <w:tcW w:type="dxa" w:w="1930"/>
            <w:vAlign w:val="center"/>
          </w:tcPr>
          <w:p>
            <w:pPr>
              <w:keepLines/>
              <w:spacing w:after="0"/>
            </w:pPr>
            <w:r>
              <w:rPr>
                <w:sz w:val="16"/>
              </w:rPr>
              <w:t>Correct under oracle (3/3 passed)</w:t>
            </w:r>
          </w:p>
        </w:tc>
      </w:tr>
    </w:tbl>
    <w:p>
      <w:pPr>
        <w:spacing w:after="20"/>
      </w:pPr>
    </w:p>
    <w:p>
      <w:r>
        <w:t>This observed error illustrates the distinction between modification size and semantic correctness: a narrower change can be incomplete, whereas a wider localized repair can satisfy the tested intended behavior. The case does not show oracle leakage; the oracle was used after the decision.</w:t>
      </w:r>
    </w:p>
    <w:p>
      <w:pPr>
        <w:pStyle w:val="Heading1"/>
      </w:pPr>
      <w:r>
        <w:t>6. Discussion</w:t>
      </w:r>
    </w:p>
    <w:p>
      <w:r>
        <w:t>The two evaluation settings exhibit different outcomes. Controlled task-specific behavioral probes supplied strong discrimination, eliminating false acceptance in the 240-instance benchmark. In the real-world configuration, visible tests and general syntax, scope, target-change, and risk signals did not reproduce that reduction. These are distinct verifier configurations; the difference cannot be attributed exclusively to synthetic versus real-world task difficulty.</w:t>
      </w:r>
    </w:p>
    <w:p>
      <w:r>
        <w:t>The Black-9 case exposes a specific failure mode. The 0.50 change-risk gate prevented selection of the sole oracle-positive candidate while allowing a smaller incomplete candidate. Thus, the heuristic is useful as a modification-size constraint but cannot be interpreted as a correctness probability or a substitute for semantic evidence.</w:t>
      </w:r>
    </w:p>
    <w:p>
      <w:r>
        <w:t>Generation effectiveness also limits the pilot: twelve of forty requested generations produced no valid candidate instance, and only one of the 28 valid candidates passed the oracle. A selector cannot recover a correct repair when its candidate pool contains none. Future development should distinguish candidate-generation improvements from verification improvements and avoid tuning the reported frozen evaluation after observing the held-out labels.</w:t>
      </w:r>
    </w:p>
    <w:p>
      <w:r>
        <w:t>The findings motivate automatically deriving behavioral properties from code context, specifications, tests, execution traces, or invariants. This is a proposed direction rather than functionality demonstrated by the present real-world prototype.</w:t>
      </w:r>
    </w:p>
    <w:p>
      <w:pPr>
        <w:pStyle w:val="Heading1"/>
      </w:pPr>
      <w:r>
        <w:t>7. Threats to Validity</w:t>
      </w:r>
    </w:p>
    <w:p>
      <w:pPr>
        <w:pStyle w:val="Heading2"/>
      </w:pPr>
      <w:r>
        <w:t>7.1 Construct and Oracle Validity</w:t>
      </w:r>
    </w:p>
    <w:p>
      <w:r>
        <w:t>Finite visible, hidden, behavior-probe, and oracle tests approximate intended semantics rather than prove total correctness. Controlled probes are hand-specified and may be particularly well aligned with the corresponding task failures. The real-world oracle has a different role: it provides labels after the verifier has decided.</w:t>
      </w:r>
    </w:p>
    <w:p>
      <w:pPr>
        <w:pStyle w:val="Heading2"/>
      </w:pPr>
      <w:r>
        <w:t>7.2 Internal Validity</w:t>
      </w:r>
    </w:p>
    <w:p>
      <w:r>
        <w:t>The controlled and real-world experiments use different acceptance rules and different behavioral information. Thus their results cannot isolate dataset complexity from verifier configuration. Developer patches informed real-world benchmark preparation but were not included in generation/selection inputs. The real-world risk threshold is a fixed heuristic, not a calibrated probability.</w:t>
      </w:r>
    </w:p>
    <w:p>
      <w:pPr>
        <w:pStyle w:val="Heading2"/>
      </w:pPr>
      <w:r>
        <w:t>7.3 External Validity</w:t>
      </w:r>
    </w:p>
    <w:p>
      <w:r>
        <w:t>Six controlled tasks and ten localized defects from a single real-world project do not support broad claims across languages, repositories, or the entirety of BugsInPy. The 240 controlled observations are repeated candidate instances for six tasks, not independent bugs.</w:t>
      </w:r>
    </w:p>
    <w:p>
      <w:pPr>
        <w:pStyle w:val="Heading2"/>
      </w:pPr>
      <w:r>
        <w:t>7.4 Statistical Validity</w:t>
      </w:r>
    </w:p>
    <w:p>
      <w:r>
        <w:t>Only one of 28 valid real-world candidate instances is oracle-positive. Precision and recall values, particularly VERA-SE’s 0% recall and 100% FRR, are highly sensitive to this one observation. Candidate instances within the same defect are correlated, and no statistically powered generalization is claimed.</w:t>
      </w:r>
    </w:p>
    <w:p>
      <w:pPr>
        <w:pStyle w:val="Heading2"/>
      </w:pPr>
      <w:r>
        <w:t>7.5 Reproducibility</w:t>
      </w:r>
    </w:p>
    <w:p>
      <w:r>
        <w:t>The frozen artifacts include task and candidate CSVs, requested-versus-valid counts, patched code, diffs, and source hashes. The authoritative pilot uses runs 20260904_164914 and 20260904_171236; a later generator modification and interrupted run are excluded from the analysis. SHA-256 hashes have been recorded for the authoritative result files to support artifact-integrity checks. Git history was initialized after the experiments, so the current repository snapshot does not establish the exact historical generator revision. Accordingly, the frozen artifacts are treated as the authoritative experimental record, and end-to-end reproduction should not be claimed until the original generation configuration is reconstructed or independently preserved.</w:t>
      </w:r>
    </w:p>
    <w:p>
      <w:pPr>
        <w:pStyle w:val="Heading1"/>
      </w:pPr>
      <w:r>
        <w:t>8. Conclusion</w:t>
      </w:r>
    </w:p>
    <w:p>
      <w:r>
        <w:t>VERA-SE separates LLM-generated patch proposals from explicit verification-guided acceptance and risk-aware selection. In a six-task controlled benchmark, task-specific behavioral verification eliminated false acceptance among 87 incorrect candidate instances, at the cost of one false rejection among 153 correct instances. In a ten-defect Black pilot, the system produced 28 valid candidates from 40 requested generations; only one satisfied the held-out oracle. The real-world verifier falsely accepted one patch and rejected the sole oracle-positive patch, matching the visible baseline’s false-acceptance count rather than improving it.</w:t>
      </w:r>
    </w:p>
    <w:p>
      <w:r>
        <w:t>These results distinguish the demonstrated potential of meaningful behavioral verification from the limitations of generic structural and change-risk filtering. More informative automatically derived semantic properties and broader, reproducible multi-project evaluations are needed before stronger claims about real-world repair reliability can be made.</w:t>
      </w:r>
    </w:p>
    <w:p>
      <w:pPr>
        <w:pStyle w:val="Heading1"/>
      </w:pPr>
      <w:r>
        <w:t>References</w:t>
      </w:r>
    </w:p>
    <w:p>
      <w:r>
        <w:t>[1] C. Le Goues, T. V. Nguyen, S. Forrest, and W. Weimer, “GenProg: A Generic Method for Automatic Software Repair,” IEEE Transactions on Software Engineering, vol. 38, no. 1, pp. 54–72, 2012. doi: 10.1109/TSE.2011.104.</w:t>
      </w:r>
    </w:p>
    <w:p>
      <w:r>
        <w:t>[2] J. Bader, A. Scott, M. Pradel, and S. Chandra, “Getafix: Learning to Fix Bugs Automatically,” Proc. ACM Program. Lang., vol. 3, OOPSLA, Art. no. 159, pp. 1–27, 2019. doi: 10.1145/3360585.</w:t>
      </w:r>
    </w:p>
    <w:p>
      <w:r>
        <w:t>[3] S. Mechtaev, J. Yi, and A. Roychoudhury, “Angelix: Scalable Multiline Program Patch Synthesis via Symbolic Analysis,” in Proceedings of the 38th International Conference on Software Engineering, 2016, pp. 691–701. doi: 10.1145/2884781.2884807.</w:t>
      </w:r>
    </w:p>
    <w:p>
      <w:r>
        <w:t>[4] C. E. Jimenez et al., “SWE-bench: Can Language Models Resolve Real-World GitHub Issues?” in Proc. Int. Conf. Learn. Representations (ICLR), 2024.</w:t>
      </w:r>
    </w:p>
    <w:p>
      <w:r>
        <w:t>[5] J. Yang et al., “SWE-agent: Agent-Computer Interfaces Enable Automated Software Engineering,” in Adv. Neural Inf. Process. Syst., vol. 37, 2024. doi: 10.52202/079017-1601.</w:t>
      </w:r>
    </w:p>
    <w:p>
      <w:r>
        <w:t>[6] E. K. Smith, E. T. Barr, C. Le Goues, and Y. Brun, “Is the Cure Worse Than the Disease? Overfitting in Automated Program Repair,” in Proceedings of ESEC/FSE, 2015, pp. 532–543. doi: 10.1145/2786805.2786825.</w:t>
      </w:r>
    </w:p>
    <w:p>
      <w:r>
        <w:t>[7] H. Ye, M. Martinez, and M. Monperrus, “Automated Patch Assessment for Program Repair at Scale,” Empirical Software Engineering, vol. 26, article 20, 2021. doi: 10.1007/s10664-020-09920-w.</w:t>
      </w:r>
    </w:p>
    <w:p>
      <w:pPr/>
      <w:r>
        <w:t>[8] R. Widyasari et al., “BugsInPy: A Database of Existing Bugs in Python Programs to Enable Controlled Testing and Debugging Studies,” in Proc. 28th ACM Joint Eur. Softw. Eng. Conf. Symp. Found. Softw. Eng. (ESEC/FSE), 2020, pp. 1556–1560. doi: 10.1145/3368089.3417943.</w:t>
      </w:r>
    </w:p>
    <w:sectPr w:rsidR="00FC693F" w:rsidRPr="0006063C" w:rsidSect="00034616">
      <w:footerReference w:type="default" r:id="rId9"/>
      <w:footerReference w:type="first" r:id="rId11"/>
      <w:footerReference w:type="even" r:id="rId12"/>
      <w:pgSz w:w="12240" w:h="15840"/>
      <w:pgMar w:top="1109" w:right="1296" w:bottom="1109"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18324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832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9233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