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KT Document – Getac Consolidation Script</w:t>
      </w:r>
    </w:p>
    <w:p>
      <w:pPr>
        <w:jc w:val="center"/>
      </w:pPr>
      <w:r>
        <w:rPr>
          <w:i/>
        </w:rPr>
        <w:t>Online Reseller Consolidation Fix &amp; Existing Script Changes</w:t>
      </w:r>
    </w:p>
    <w:p/>
    <w:p>
      <w:pPr>
        <w:pStyle w:val="Heading1"/>
      </w:pPr>
      <w:r>
        <w:t>1. Purpose</w:t>
      </w:r>
    </w:p>
    <w:p>
      <w:r>
        <w:t>This document explains the Getac consolidation issue that was investigated and fixed, the existing Apps Script flow, the changes made for reseller Online leads, and the key functions involved. It is intended as a handover/knowledge-transfer reference for future maintenance.</w:t>
      </w:r>
    </w:p>
    <w:p>
      <w:pPr>
        <w:pStyle w:val="Heading1"/>
      </w:pPr>
      <w:r>
        <w:t>2. Original Problem</w:t>
      </w:r>
    </w:p>
    <w:p>
      <w:r>
        <w:t>The consolidation process was not including all expected Online reseller leads in the company-level consolidated sheets. The existing implementation had reseller-specific logic tied to Germany/Mettenmeier, so the logic was not scalable for other reseller companies.</w:t>
      </w:r>
    </w:p>
    <w:p>
      <w:r>
        <w:t>A concrete example was PWA ELECTRONIC in Germany: the Master Reseller Sheet contained 50 Online leads for PWA, but those leads were not previously being handled by the company-level consolidation logic.</w:t>
      </w:r>
    </w:p>
    <w:p>
      <w:r>
        <w:t>France also has multiple reseller companies, so the same approach needed to support multiple reseller companies and multiple reseller email addresses per company.</w:t>
      </w:r>
    </w:p>
    <w:p>
      <w:pPr>
        <w:pStyle w:val="Heading1"/>
      </w:pPr>
      <w:r>
        <w:t>3. Existing Consolidation Architecture</w:t>
      </w:r>
    </w:p>
    <w:p>
      <w:pPr>
        <w:pStyle w:val="ListBullet"/>
      </w:pPr>
      <w:r>
        <w:t>buildAllConsolidations() is the main orchestration function. It loops through configured region roots and discovers country folders.</w:t>
      </w:r>
    </w:p>
    <w:p>
      <w:pPr>
        <w:pStyle w:val="ListBullet"/>
      </w:pPr>
      <w:r>
        <w:t>buildOneCountry_() discovers the Country, BD/Sales, and Reseller subfolders, builds the canonical header layout, gathers source files, and performs company- and country-level consolidation.</w:t>
      </w:r>
    </w:p>
    <w:p>
      <w:pPr>
        <w:pStyle w:val="ListBullet"/>
      </w:pPr>
      <w:r>
        <w:t>Offline source files are discovered from BD/Sales and reseller company folders.</w:t>
      </w:r>
    </w:p>
    <w:p>
      <w:pPr>
        <w:pStyle w:val="ListBullet"/>
      </w:pPr>
      <w:r>
        <w:t>Company-level consolidation combines Online records filtered for that reseller with Offline employee-sheet records, then deduplicates by Record ID.</w:t>
      </w:r>
    </w:p>
    <w:p>
      <w:pPr>
        <w:pStyle w:val="ListBullet"/>
      </w:pPr>
      <w:r>
        <w:t>Country-level consolidation combines Online records for the country with BD and reseller Offline records, then deduplicates by Record ID.</w:t>
      </w:r>
    </w:p>
    <w:p>
      <w:pPr>
        <w:pStyle w:val="ListBullet"/>
      </w:pPr>
      <w:r>
        <w:t>Online rows are placed before Offline rows during merging, so Online wins when the same Record ID exists in both sources.</w:t>
      </w:r>
    </w:p>
    <w:p>
      <w:pPr>
        <w:pStyle w:val="Heading1"/>
      </w:pPr>
      <w:r>
        <w:t>4. Root Cause</w:t>
      </w:r>
    </w:p>
    <w:p>
      <w:r>
        <w:t>The company-level Online filtering was originally controlled by a hardcoded condition such as Germany + Mettenmeier. That meant the code did not have a reusable mapping for other reseller companies and their reseller email addresses.</w:t>
      </w:r>
    </w:p>
    <w:p>
      <w:r>
        <w:t>Because the Master contains Online leads for multiple countries and resellers, the company-level reader must filter by both the current country and the reseller email address(es) belonging to the current company.</w:t>
      </w:r>
    </w:p>
    <w:p>
      <w:pPr>
        <w:pStyle w:val="Heading1"/>
      </w:pPr>
      <w:r>
        <w:t>5. Solution Implemented</w:t>
      </w:r>
    </w:p>
    <w:p>
      <w:r>
        <w:t>A reseller configuration was introduced so the company-level consolidation can select the correct reseller email list using the current country and company name.</w:t>
      </w:r>
    </w:p>
    <w:p>
      <w:r>
        <w:t>Configuration structure:</w:t>
      </w:r>
    </w:p>
    <w:p>
      <w:pPr/>
      <w:r>
        <w:rPr>
          <w:rFonts w:ascii="Consolas" w:hAnsi="Consolas"/>
          <w:sz w:val="16"/>
        </w:rPr>
        <w:t>const RESELLER_EMAIL_CONFIG = {</w:t>
        <w:br/>
        <w:t xml:space="preserve">  Germany: {</w:t>
        <w:br/>
        <w:t xml:space="preserve">    Mettenmeier: [</w:t>
        <w:br/>
        <w:t xml:space="preserve">      'robust-pc@mettenmeier.de',</w:t>
        <w:br/>
        <w:t xml:space="preserve">      'sebastian@mettenmeier.de'</w:t>
        <w:br/>
        <w:t xml:space="preserve">    ],</w:t>
        <w:br/>
        <w:t xml:space="preserve">    'PWA ELECTRONIC': [</w:t>
        <w:br/>
        <w:t xml:space="preserve">      'sales@pwa-electronic.de'</w:t>
        <w:br/>
        <w:t xml:space="preserve">    ]</w:t>
        <w:br/>
        <w:t xml:space="preserve">  },</w:t>
        <w:br/>
        <w:br/>
        <w:t xml:space="preserve">  France: {</w:t>
        <w:br/>
        <w:t xml:space="preserve">    Milexia: [</w:t>
        <w:br/>
        <w:t xml:space="preserve">      'hugo.ramos@milexia.com',</w:t>
        <w:br/>
        <w:t xml:space="preserve">      'mike.denaudor@milexia.com',</w:t>
        <w:br/>
        <w:t xml:space="preserve">      'Sales-france@milexia.com'</w:t>
        <w:br/>
        <w:t xml:space="preserve">    ],</w:t>
        <w:br/>
        <w:t xml:space="preserve">    LAFI: [</w:t>
        <w:br/>
        <w:t xml:space="preserve">      'hfettache@lafi.fr',</w:t>
        <w:br/>
        <w:t xml:space="preserve">      'crichard@lafi.fr',</w:t>
        <w:br/>
        <w:t xml:space="preserve">      'mrecalde@lafi.fr'</w:t>
        <w:br/>
        <w:t xml:space="preserve">    ],</w:t>
        <w:br/>
        <w:t xml:space="preserve">    Timcod: [</w:t>
        <w:br/>
        <w:t xml:space="preserve">      'pnasr@timcod.fr',</w:t>
        <w:br/>
        <w:t xml:space="preserve">      'gmarechal@timcod.fr',</w:t>
        <w:br/>
        <w:t xml:space="preserve">      'ndidamaso@timcod.fr'</w:t>
        <w:br/>
        <w:t xml:space="preserve">    ],</w:t>
        <w:br/>
        <w:t xml:space="preserve">    Rayonance: [</w:t>
        <w:br/>
        <w:t xml:space="preserve">      'jfmurat@rayonnance.fr',</w:t>
        <w:br/>
        <w:t xml:space="preserve">      'vjerome@rayonnance.fr',</w:t>
        <w:br/>
        <w:t xml:space="preserve">      'cboisseau@rayonnance.fr'</w:t>
        <w:br/>
        <w:t xml:space="preserve">    ],</w:t>
        <w:br/>
        <w:t xml:space="preserve">    Orbitica: [</w:t>
        <w:br/>
        <w:t xml:space="preserve">      'lavabre@orbitica.com',</w:t>
        <w:br/>
        <w:t xml:space="preserve">      'legishenri@orbitica.com'</w:t>
        <w:br/>
        <w:t xml:space="preserve">    ],</w:t>
        <w:br/>
        <w:t xml:space="preserve">    Infoproject: [</w:t>
        <w:br/>
        <w:t xml:space="preserve">      'fbailly@infoproject.fr'</w:t>
        <w:br/>
        <w:t xml:space="preserve">    ],</w:t>
        <w:br/>
        <w:t xml:space="preserve">    AtheoIngenierie: [</w:t>
        <w:br/>
        <w:t xml:space="preserve">      'Alan.BONFILS@atheo.net'</w:t>
        <w:br/>
        <w:t xml:space="preserve">    ],</w:t>
        <w:br/>
        <w:t xml:space="preserve">    Aplus: [</w:t>
        <w:br/>
        <w:t xml:space="preserve">      'vratti@aplus-sa.com',</w:t>
        <w:br/>
        <w:t xml:space="preserve">      'sales@aplus-sa.com'</w:t>
        <w:br/>
        <w:t xml:space="preserve">    ],</w:t>
        <w:br/>
        <w:t xml:space="preserve">    MGSInformatique: [</w:t>
        <w:br/>
        <w:t xml:space="preserve">      'sbrizion@mgsinfo.com'</w:t>
        <w:br/>
        <w:t xml:space="preserve">    ],</w:t>
        <w:br/>
        <w:t xml:space="preserve">    InmacWstore: [</w:t>
        <w:br/>
        <w:t xml:space="preserve">      'magalie.gomes@inmac-wstore.com',</w:t>
        <w:br/>
        <w:t xml:space="preserve">      'frederic.chardonnet@inmac-wstore.com'</w:t>
        <w:br/>
        <w:t xml:space="preserve">    ]</w:t>
        <w:br/>
        <w:t xml:space="preserve">  }</w:t>
        <w:br/>
        <w:t>};</w:t>
      </w:r>
    </w:p>
    <w:p>
      <w:r>
        <w:t>The company name is matched to the actual reseller company folder name. For example, 'PWA ELECTRONIC' is kept with quotes because the key contains a space.</w:t>
      </w:r>
    </w:p>
    <w:p>
      <w:pPr>
        <w:pStyle w:val="Heading1"/>
      </w:pPr>
      <w:r>
        <w:t>6. Company-Level Code Change</w:t>
      </w:r>
    </w:p>
    <w:p>
      <w:r>
        <w:t>The previous hardcoded country/company condition was replaced with a configuration lookup. The current company determines which reseller email list is used.</w:t>
      </w:r>
    </w:p>
    <w:p>
      <w:r>
        <w:rPr>
          <w:rFonts w:ascii="Consolas" w:hAnsi="Consolas"/>
          <w:sz w:val="16"/>
        </w:rPr>
        <w:t>const resellerEmails =</w:t>
        <w:br/>
        <w:t xml:space="preserve">  RESELLER_EMAIL_CONFIG[country]?.[company] || [];</w:t>
        <w:br/>
        <w:br/>
        <w:t>let onlineRows = [];</w:t>
        <w:br/>
        <w:br/>
        <w:t>if (resellerEmails.length) {</w:t>
        <w:br/>
        <w:t xml:space="preserve">  onlineRows = cnReadMasterOnlineForReseller_(</w:t>
        <w:br/>
        <w:t xml:space="preserve">    country,</w:t>
        <w:br/>
        <w:t xml:space="preserve">    resellerEmails,</w:t>
        <w:br/>
        <w:t xml:space="preserve">    canonNorm</w:t>
        <w:br/>
        <w:t xml:space="preserve">  );</w:t>
        <w:br/>
        <w:br/>
        <w:t xml:space="preserve">  cnStampContactSource_(</w:t>
        <w:br/>
        <w:t xml:space="preserve">    onlineRows,</w:t>
        <w:br/>
        <w:t xml:space="preserve">    canonNorm,</w:t>
        <w:br/>
        <w:t xml:space="preserve">    CN_SOURCE_ONLINE</w:t>
        <w:br/>
        <w:t xml:space="preserve">  );</w:t>
        <w:br/>
        <w:t>}</w:t>
      </w:r>
    </w:p>
    <w:p>
      <w:r>
        <w:t>This removes the need for separate if/else blocks for each reseller. A new reseller can be supported by adding its email address(es) to the relevant configuration entry.</w:t>
      </w:r>
    </w:p>
    <w:p>
      <w:pPr>
        <w:pStyle w:val="Heading1"/>
      </w:pPr>
      <w:r>
        <w:t>7. Function: cnReadMasterOnlineForReseller_()</w:t>
      </w:r>
    </w:p>
    <w:p>
      <w:r>
        <w:t>This function reads the Master 'Leads Data' sheet and returns only the Online records belonging to the requested reseller company.</w:t>
      </w:r>
    </w:p>
    <w:p>
      <w:pPr>
        <w:pStyle w:val="ListBullet"/>
      </w:pPr>
      <w:r>
        <w:t>Receives country, resellerEmails, and the normalized canonical header list.</w:t>
      </w:r>
    </w:p>
    <w:p>
      <w:pPr>
        <w:pStyle w:val="ListBullet"/>
      </w:pPr>
      <w:r>
        <w:t>Applies the existing country scope using CN_ONLINE_COUNTRY_MATCH.</w:t>
      </w:r>
    </w:p>
    <w:p>
      <w:pPr>
        <w:pStyle w:val="ListBullet"/>
      </w:pPr>
      <w:r>
        <w:t>Finds the Master country column and reseller email column.</w:t>
      </w:r>
    </w:p>
    <w:p>
      <w:pPr>
        <w:pStyle w:val="ListBullet"/>
      </w:pPr>
      <w:r>
        <w:t>Normalizes the configured reseller email addresses using trim/lowercase.</w:t>
      </w:r>
    </w:p>
    <w:p>
      <w:pPr>
        <w:pStyle w:val="ListBullet"/>
      </w:pPr>
      <w:r>
        <w:t>Checks each Master row for both the correct country and a matching reseller email.</w:t>
      </w:r>
    </w:p>
    <w:p>
      <w:pPr>
        <w:pStyle w:val="ListBullet"/>
      </w:pPr>
      <w:r>
        <w:t>Skips rows without a valid Record ID.</w:t>
      </w:r>
    </w:p>
    <w:p>
      <w:pPr>
        <w:pStyle w:val="ListBullet"/>
      </w:pPr>
      <w:r>
        <w:t>Deduplicates by Record ID, keeping the first occurrence.</w:t>
      </w:r>
    </w:p>
    <w:p>
      <w:pPr>
        <w:pStyle w:val="ListBullet"/>
      </w:pPr>
      <w:r>
        <w:t>Maps Master columns into the canonical layout before returning the rows.</w:t>
      </w:r>
    </w:p>
    <w:p>
      <w:pPr>
        <w:pStyle w:val="Heading1"/>
      </w:pPr>
      <w:r>
        <w:t>8. Function: cnStampContactSource_()</w:t>
      </w:r>
    </w:p>
    <w:p>
      <w:r>
        <w:t>This function does not perform the reseller filtering. It stamps the canonical Contact Source column after rows have already been mapped.</w:t>
      </w:r>
    </w:p>
    <w:p>
      <w:r>
        <w:t>Online rows receive: Online/Campaigns</w:t>
      </w:r>
    </w:p>
    <w:p>
      <w:r>
        <w:t>Offline rows receive: Offline/Events</w:t>
      </w:r>
    </w:p>
    <w:p>
      <w:pPr>
        <w:pStyle w:val="Heading1"/>
      </w:pPr>
      <w:r>
        <w:t>9. Function: cnAggregate_()</w:t>
      </w:r>
    </w:p>
    <w:p>
      <w:r>
        <w:t>This function handles multiple Offline source files. It opens each source sheet, maps its columns to the canonical layout, skips invalid Record IDs, and removes duplicate Record IDs with first-seen-wins behavior.</w:t>
      </w:r>
    </w:p>
    <w:p>
      <w:r>
        <w:t>This is why it is mainly important for Offline processing: BD and reseller folders can contain multiple employee/source sheets.</w:t>
      </w:r>
    </w:p>
    <w:p>
      <w:pPr>
        <w:pStyle w:val="Heading1"/>
      </w:pPr>
      <w:r>
        <w:t>10. Function: cnMergeById_()</w:t>
      </w:r>
    </w:p>
    <w:p>
      <w:r>
        <w:t>This is the final merge step for already-canonical rows. It removes duplicate Record IDs while preserving the first row encountered. Because the code passes Online rows before Offline rows, Online wins on a collision.</w:t>
      </w:r>
    </w:p>
    <w:p>
      <w:pPr>
        <w:pStyle w:val="Heading1"/>
      </w:pPr>
      <w:r>
        <w:t>11. Canonical Header Mapping</w:t>
      </w:r>
    </w:p>
    <w:p>
      <w:r>
        <w:t>CN_CANONICAL_HEADERS defines the final output column structure. It is a hardcoded superset rather than being derived from one source file. cnColumnMap_() matches source headers to canonical headers using normalized names and CN_HEADER_ALIASES.</w:t>
      </w:r>
    </w:p>
    <w:p>
      <w:r>
        <w:t>This prevents columns from shifting when different source sheets have different column orders or missing columns.</w:t>
      </w:r>
    </w:p>
    <w:p>
      <w:pPr>
        <w:pStyle w:val="Heading1"/>
      </w:pPr>
      <w:r>
        <w:t>12. Country-Level Consolidation</w:t>
      </w:r>
    </w:p>
    <w:p>
      <w:r>
        <w:t>The country-level section remains separate from company-level consolidation. It combines country-level Online records from the Master with all BD and reseller Offline records.</w:t>
      </w:r>
    </w:p>
    <w:p>
      <w:r>
        <w:t>The reseller-specific email list is required for company-level Online filtering; it should not be confused with the country-level cnReadMasterOnline_() function, which filters the Master by country scope.</w:t>
      </w:r>
    </w:p>
    <w:p>
      <w:pPr>
        <w:pStyle w:val="Heading1"/>
      </w:pPr>
      <w:r>
        <w:t>13. Debugging Issue Encountered During the Change</w:t>
      </w:r>
    </w:p>
    <w:p>
      <w:r>
        <w:t>During implementation, resellerEmails was temporarily referenced inside cnReadMasterOnline_(), even though that function only receives country and canonNorm. This caused:</w:t>
      </w:r>
    </w:p>
    <w:p>
      <w:r>
        <w:rPr>
          <w:rFonts w:ascii="Consolas" w:hAnsi="Consolas"/>
          <w:sz w:val="18"/>
        </w:rPr>
        <w:t>ReferenceError: resellerEmails is not defined</w:t>
      </w:r>
    </w:p>
    <w:p>
      <w:r>
        <w:t>The issue was identified from the execution log. The company-level function correctly receives resellerEmails, while the country-level function does not. The reseller-specific variable therefore belongs to the company-level reader, not the country-level reader. The diagnostic logic in the country-level function was corrected accordingly.</w:t>
      </w:r>
    </w:p>
    <w:p>
      <w:pPr>
        <w:pStyle w:val="Heading1"/>
      </w:pPr>
      <w:r>
        <w:t>14. Validation / Test Result</w:t>
      </w:r>
    </w:p>
    <w:p>
      <w:r>
        <w:t>The dry-run execution confirmed that the new reseller filtering was working before enabling actual writes.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Country</w:t>
            </w:r>
          </w:p>
        </w:tc>
        <w:tc>
          <w:tcPr>
            <w:tcW w:type="dxa" w:w="3408"/>
            <w:vAlign w:val="center"/>
          </w:tcPr>
          <w:p>
            <w:r>
              <w:t>Company</w:t>
            </w:r>
          </w:p>
        </w:tc>
        <w:tc>
          <w:tcPr>
            <w:tcW w:type="dxa" w:w="3408"/>
            <w:vAlign w:val="center"/>
          </w:tcPr>
          <w:p>
            <w:r>
              <w:t>Online records matched</w:t>
            </w:r>
          </w:p>
        </w:tc>
      </w:tr>
      <w:tr>
        <w:tc>
          <w:tcPr>
            <w:tcW w:type="dxa" w:w="3408"/>
          </w:tcPr>
          <w:p>
            <w:r>
              <w:t>Germany</w:t>
            </w:r>
          </w:p>
        </w:tc>
        <w:tc>
          <w:tcPr>
            <w:tcW w:type="dxa" w:w="3408"/>
          </w:tcPr>
          <w:p>
            <w:r>
              <w:t>PWA ELECTRONIC</w:t>
            </w:r>
          </w:p>
        </w:tc>
        <w:tc>
          <w:tcPr>
            <w:tcW w:type="dxa" w:w="3408"/>
          </w:tcPr>
          <w:p>
            <w:r>
              <w:t>50</w:t>
            </w:r>
          </w:p>
        </w:tc>
      </w:tr>
      <w:tr>
        <w:tc>
          <w:tcPr>
            <w:tcW w:type="dxa" w:w="3408"/>
          </w:tcPr>
          <w:p>
            <w:r>
              <w:t>Germany</w:t>
            </w:r>
          </w:p>
        </w:tc>
        <w:tc>
          <w:tcPr>
            <w:tcW w:type="dxa" w:w="3408"/>
          </w:tcPr>
          <w:p>
            <w:r>
              <w:t>Mettenmeier</w:t>
            </w:r>
          </w:p>
        </w:tc>
        <w:tc>
          <w:tcPr>
            <w:tcW w:type="dxa" w:w="3408"/>
          </w:tcPr>
          <w:p>
            <w:r>
              <w:t>159</w:t>
            </w:r>
          </w:p>
        </w:tc>
      </w:tr>
      <w:tr>
        <w:tc>
          <w:tcPr>
            <w:tcW w:type="dxa" w:w="3408"/>
          </w:tcPr>
          <w:p>
            <w:r>
              <w:t>France</w:t>
            </w:r>
          </w:p>
        </w:tc>
        <w:tc>
          <w:tcPr>
            <w:tcW w:type="dxa" w:w="3408"/>
          </w:tcPr>
          <w:p>
            <w:r>
              <w:t>MGSInformatique</w:t>
            </w:r>
          </w:p>
        </w:tc>
        <w:tc>
          <w:tcPr>
            <w:tcW w:type="dxa" w:w="3408"/>
          </w:tcPr>
          <w:p>
            <w:r>
              <w:t>1</w:t>
            </w:r>
          </w:p>
        </w:tc>
      </w:tr>
      <w:tr>
        <w:tc>
          <w:tcPr>
            <w:tcW w:type="dxa" w:w="3408"/>
          </w:tcPr>
          <w:p>
            <w:r>
              <w:t>France</w:t>
            </w:r>
          </w:p>
        </w:tc>
        <w:tc>
          <w:tcPr>
            <w:tcW w:type="dxa" w:w="3408"/>
          </w:tcPr>
          <w:p>
            <w:r>
              <w:t>Aplus</w:t>
            </w:r>
          </w:p>
        </w:tc>
        <w:tc>
          <w:tcPr>
            <w:tcW w:type="dxa" w:w="3408"/>
          </w:tcPr>
          <w:p>
            <w:r>
              <w:t>96</w:t>
            </w:r>
          </w:p>
        </w:tc>
      </w:tr>
      <w:tr>
        <w:tc>
          <w:tcPr>
            <w:tcW w:type="dxa" w:w="3408"/>
          </w:tcPr>
          <w:p>
            <w:r>
              <w:t>France</w:t>
            </w:r>
          </w:p>
        </w:tc>
        <w:tc>
          <w:tcPr>
            <w:tcW w:type="dxa" w:w="3408"/>
          </w:tcPr>
          <w:p>
            <w:r>
              <w:t>Infoproject</w:t>
            </w:r>
          </w:p>
        </w:tc>
        <w:tc>
          <w:tcPr>
            <w:tcW w:type="dxa" w:w="3408"/>
          </w:tcPr>
          <w:p>
            <w:r>
              <w:t>1</w:t>
            </w:r>
          </w:p>
        </w:tc>
      </w:tr>
      <w:tr>
        <w:tc>
          <w:tcPr>
            <w:tcW w:type="dxa" w:w="3408"/>
          </w:tcPr>
          <w:p>
            <w:r>
              <w:t>France</w:t>
            </w:r>
          </w:p>
        </w:tc>
        <w:tc>
          <w:tcPr>
            <w:tcW w:type="dxa" w:w="3408"/>
          </w:tcPr>
          <w:p>
            <w:r>
              <w:t>Orbitica</w:t>
            </w:r>
          </w:p>
        </w:tc>
        <w:tc>
          <w:tcPr>
            <w:tcW w:type="dxa" w:w="3408"/>
          </w:tcPr>
          <w:p>
            <w:r>
              <w:t>13</w:t>
            </w:r>
          </w:p>
        </w:tc>
      </w:tr>
      <w:tr>
        <w:tc>
          <w:tcPr>
            <w:tcW w:type="dxa" w:w="3408"/>
          </w:tcPr>
          <w:p>
            <w:r>
              <w:t>France</w:t>
            </w:r>
          </w:p>
        </w:tc>
        <w:tc>
          <w:tcPr>
            <w:tcW w:type="dxa" w:w="3408"/>
          </w:tcPr>
          <w:p>
            <w:r>
              <w:t>Rayonance</w:t>
            </w:r>
          </w:p>
        </w:tc>
        <w:tc>
          <w:tcPr>
            <w:tcW w:type="dxa" w:w="3408"/>
          </w:tcPr>
          <w:p>
            <w:r>
              <w:t>1</w:t>
            </w:r>
          </w:p>
        </w:tc>
      </w:tr>
      <w:tr>
        <w:tc>
          <w:tcPr>
            <w:tcW w:type="dxa" w:w="3408"/>
          </w:tcPr>
          <w:p>
            <w:r>
              <w:t>France</w:t>
            </w:r>
          </w:p>
        </w:tc>
        <w:tc>
          <w:tcPr>
            <w:tcW w:type="dxa" w:w="3408"/>
          </w:tcPr>
          <w:p>
            <w:r>
              <w:t>LAFI</w:t>
            </w:r>
          </w:p>
        </w:tc>
        <w:tc>
          <w:tcPr>
            <w:tcW w:type="dxa" w:w="3408"/>
          </w:tcPr>
          <w:p>
            <w:r>
              <w:t>2</w:t>
            </w:r>
          </w:p>
        </w:tc>
      </w:tr>
      <w:tr>
        <w:tc>
          <w:tcPr>
            <w:tcW w:type="dxa" w:w="3408"/>
          </w:tcPr>
          <w:p>
            <w:r>
              <w:t>France</w:t>
            </w:r>
          </w:p>
        </w:tc>
        <w:tc>
          <w:tcPr>
            <w:tcW w:type="dxa" w:w="3408"/>
          </w:tcPr>
          <w:p>
            <w:r>
              <w:t>Milexia</w:t>
            </w:r>
          </w:p>
        </w:tc>
        <w:tc>
          <w:tcPr>
            <w:tcW w:type="dxa" w:w="3408"/>
          </w:tcPr>
          <w:p>
            <w:r>
              <w:t>109</w:t>
            </w:r>
          </w:p>
        </w:tc>
      </w:tr>
    </w:tbl>
    <w:p>
      <w:r>
        <w:t>The important validation point is that PWA ELECTRONIC returned 50 matching Online records, confirming that the missing PWA Online leads were being found by the reseller-level filtering.</w:t>
      </w:r>
    </w:p>
    <w:p>
      <w:pPr>
        <w:pStyle w:val="Heading1"/>
      </w:pPr>
      <w:r>
        <w:t>15. Future Maintenance</w:t>
      </w:r>
    </w:p>
    <w:p>
      <w:r>
        <w:t>With the current configuration-driven implementation, adding a new reseller does not require creating a new company-level if/else condition. The reseller's email address(es) should be added to RESELLER_EMAIL_CONFIG under the correct country and company.</w:t>
      </w:r>
    </w:p>
    <w:p>
      <w:r>
        <w:t>Offline employee sheets continue to be discovered from the reseller company folder automatically by cnListSourceSheets_(). Therefore, adding another employee source sheet under an existing company is picked up by the next consolidation run.</w:t>
      </w:r>
    </w:p>
    <w:p>
      <w:r>
        <w:t>For Online leads, a new reseller email must currently be added to RESELLER_EMAIL_CONFIG before the Master records for that email can be included.</w:t>
      </w:r>
    </w:p>
    <w:p>
      <w:pPr>
        <w:pStyle w:val="Heading1"/>
      </w:pPr>
      <w:r>
        <w:t>16. Key Functions – Quick Reference</w:t>
      </w:r>
    </w:p>
    <w:tbl>
      <w:tblPr>
        <w:tblStyle w:val="TableGrid"/>
        <w:tblW w:type="auto" w:w="0"/>
        <w:jc w:val="center"/>
        <w:tblLook w:firstColumn="1" w:firstRow="1" w:lastColumn="0" w:lastRow="0" w:noHBand="0" w:noVBand="1" w:val="04A0"/>
      </w:tblPr>
      <w:tblGrid>
        <w:gridCol w:w="5112"/>
        <w:gridCol w:w="5112"/>
      </w:tblGrid>
      <w:tr>
        <w:tc>
          <w:tcPr>
            <w:tcW w:type="dxa" w:w="5112"/>
          </w:tcPr>
          <w:p>
            <w:r>
              <w:t>Function</w:t>
            </w:r>
          </w:p>
        </w:tc>
        <w:tc>
          <w:tcPr>
            <w:tcW w:type="dxa" w:w="5112"/>
          </w:tcPr>
          <w:p>
            <w:r>
              <w:t>Purpose</w:t>
            </w:r>
          </w:p>
        </w:tc>
      </w:tr>
      <w:tr>
        <w:tc>
          <w:tcPr>
            <w:tcW w:type="dxa" w:w="5112"/>
          </w:tcPr>
          <w:p>
            <w:r>
              <w:t>buildAllConsolidations()</w:t>
            </w:r>
          </w:p>
        </w:tc>
        <w:tc>
          <w:tcPr>
            <w:tcW w:type="dxa" w:w="5112"/>
          </w:tcPr>
          <w:p>
            <w:r>
              <w:t>Main orchestration across configured region roots.</w:t>
            </w:r>
          </w:p>
        </w:tc>
      </w:tr>
      <w:tr>
        <w:tc>
          <w:tcPr>
            <w:tcW w:type="dxa" w:w="5112"/>
          </w:tcPr>
          <w:p>
            <w:r>
              <w:t>buildOneCountry_()</w:t>
            </w:r>
          </w:p>
        </w:tc>
        <w:tc>
          <w:tcPr>
            <w:tcW w:type="dxa" w:w="5112"/>
          </w:tcPr>
          <w:p>
            <w:r>
              <w:t>Builds company-level and country-level consolidation for one country.</w:t>
            </w:r>
          </w:p>
        </w:tc>
      </w:tr>
      <w:tr>
        <w:tc>
          <w:tcPr>
            <w:tcW w:type="dxa" w:w="5112"/>
          </w:tcPr>
          <w:p>
            <w:r>
              <w:t>cnListSourceSheets_()</w:t>
            </w:r>
          </w:p>
        </w:tc>
        <w:tc>
          <w:tcPr>
            <w:tcW w:type="dxa" w:w="5112"/>
          </w:tcPr>
          <w:p>
            <w:r>
              <w:t>Discovers Google Sheet source files inside a folder.</w:t>
            </w:r>
          </w:p>
        </w:tc>
      </w:tr>
      <w:tr>
        <w:tc>
          <w:tcPr>
            <w:tcW w:type="dxa" w:w="5112"/>
          </w:tcPr>
          <w:p>
            <w:r>
              <w:t>cnOpenSource_()</w:t>
            </w:r>
          </w:p>
        </w:tc>
        <w:tc>
          <w:tcPr>
            <w:tcW w:type="dxa" w:w="5112"/>
          </w:tcPr>
          <w:p>
            <w:r>
              <w:t>Reads the Leads Data tab from a source spreadsheet.</w:t>
            </w:r>
          </w:p>
        </w:tc>
      </w:tr>
      <w:tr>
        <w:tc>
          <w:tcPr>
            <w:tcW w:type="dxa" w:w="5112"/>
          </w:tcPr>
          <w:p>
            <w:r>
              <w:t>cnGet / RESELLER_EMAIL_CONFIG</w:t>
            </w:r>
          </w:p>
        </w:tc>
        <w:tc>
          <w:tcPr>
            <w:tcW w:type="dxa" w:w="5112"/>
          </w:tcPr>
          <w:p>
            <w:r>
              <w:t>Provides country + company reseller email configuration.</w:t>
            </w:r>
          </w:p>
        </w:tc>
      </w:tr>
      <w:tr>
        <w:tc>
          <w:tcPr>
            <w:tcW w:type="dxa" w:w="5112"/>
          </w:tcPr>
          <w:p>
            <w:r>
              <w:t>cnReadMasterOnlineForReseller_()</w:t>
            </w:r>
          </w:p>
        </w:tc>
        <w:tc>
          <w:tcPr>
            <w:tcW w:type="dxa" w:w="5112"/>
          </w:tcPr>
          <w:p>
            <w:r>
              <w:t>Filters Master Online leads by country + reseller email(s).</w:t>
            </w:r>
          </w:p>
        </w:tc>
      </w:tr>
      <w:tr>
        <w:tc>
          <w:tcPr>
            <w:tcW w:type="dxa" w:w="5112"/>
          </w:tcPr>
          <w:p>
            <w:r>
              <w:t>cnReadMasterOnline_()</w:t>
            </w:r>
          </w:p>
        </w:tc>
        <w:tc>
          <w:tcPr>
            <w:tcW w:type="dxa" w:w="5112"/>
          </w:tcPr>
          <w:p>
            <w:r>
              <w:t>Filters Master Online leads by country for country-level consolidation.</w:t>
            </w:r>
          </w:p>
        </w:tc>
      </w:tr>
      <w:tr>
        <w:tc>
          <w:tcPr>
            <w:tcW w:type="dxa" w:w="5112"/>
          </w:tcPr>
          <w:p>
            <w:r>
              <w:t>cnAggregate_()</w:t>
            </w:r>
          </w:p>
        </w:tc>
        <w:tc>
          <w:tcPr>
            <w:tcW w:type="dxa" w:w="5112"/>
          </w:tcPr>
          <w:p>
            <w:r>
              <w:t>Maps and deduplicates multiple Offline source files.</w:t>
            </w:r>
          </w:p>
        </w:tc>
      </w:tr>
      <w:tr>
        <w:tc>
          <w:tcPr>
            <w:tcW w:type="dxa" w:w="5112"/>
          </w:tcPr>
          <w:p>
            <w:r>
              <w:t>cnColumnMap_()</w:t>
            </w:r>
          </w:p>
        </w:tc>
        <w:tc>
          <w:tcPr>
            <w:tcW w:type="dxa" w:w="5112"/>
          </w:tcPr>
          <w:p>
            <w:r>
              <w:t>Maps source columns to canonical columns using normalized headers/aliases.</w:t>
            </w:r>
          </w:p>
        </w:tc>
      </w:tr>
      <w:tr>
        <w:tc>
          <w:tcPr>
            <w:tcW w:type="dxa" w:w="5112"/>
          </w:tcPr>
          <w:p>
            <w:r>
              <w:t>cnStampContactSource_()</w:t>
            </w:r>
          </w:p>
        </w:tc>
        <w:tc>
          <w:tcPr>
            <w:tcW w:type="dxa" w:w="5112"/>
          </w:tcPr>
          <w:p>
            <w:r>
              <w:t>Labels rows as Online/Campaigns or Offline/Events.</w:t>
            </w:r>
          </w:p>
        </w:tc>
      </w:tr>
      <w:tr>
        <w:tc>
          <w:tcPr>
            <w:tcW w:type="dxa" w:w="5112"/>
          </w:tcPr>
          <w:p>
            <w:r>
              <w:t>cnMergeById_()</w:t>
            </w:r>
          </w:p>
        </w:tc>
        <w:tc>
          <w:tcPr>
            <w:tcW w:type="dxa" w:w="5112"/>
          </w:tcPr>
          <w:p>
            <w:r>
              <w:t>Final Record ID deduplication; first-seen row wins.</w:t>
            </w:r>
          </w:p>
        </w:tc>
      </w:tr>
      <w:tr>
        <w:tc>
          <w:tcPr>
            <w:tcW w:type="dxa" w:w="5112"/>
          </w:tcPr>
          <w:p>
            <w:r>
              <w:t>cnWrite_()</w:t>
            </w:r>
          </w:p>
        </w:tc>
        <w:tc>
          <w:tcPr>
            <w:tcW w:type="dxa" w:w="5112"/>
          </w:tcPr>
          <w:p>
            <w:r>
              <w:t>Writes canonical headers and rows to the destination sheet.</w:t>
            </w:r>
          </w:p>
        </w:tc>
      </w:tr>
      <w:tr>
        <w:tc>
          <w:tcPr>
            <w:tcW w:type="dxa" w:w="5112"/>
          </w:tcPr>
          <w:p>
            <w:r>
              <w:t>cnApplyTemplateStyling_()</w:t>
            </w:r>
          </w:p>
        </w:tc>
        <w:tc>
          <w:tcPr>
            <w:tcW w:type="dxa" w:w="5112"/>
          </w:tcPr>
          <w:p>
            <w:r>
              <w:t>Applies header formatting and dropdown validation.</w:t>
            </w:r>
          </w:p>
        </w:tc>
      </w:tr>
      <w:tr>
        <w:tc>
          <w:tcPr>
            <w:tcW w:type="dxa" w:w="5112"/>
          </w:tcPr>
          <w:p>
            <w:r>
              <w:t>cnRemapLeadStatusValues_()</w:t>
            </w:r>
          </w:p>
        </w:tc>
        <w:tc>
          <w:tcPr>
            <w:tcW w:type="dxa" w:w="5112"/>
          </w:tcPr>
          <w:p>
            <w:r>
              <w:t>Normalizes Lead Status values for the canonical dropdown.</w:t>
            </w:r>
          </w:p>
        </w:tc>
      </w:tr>
      <w:tr>
        <w:tc>
          <w:tcPr>
            <w:tcW w:type="dxa" w:w="5112"/>
          </w:tcPr>
          <w:p>
            <w:r>
              <w:t>cnFormatDateColumns_()</w:t>
            </w:r>
          </w:p>
        </w:tc>
        <w:tc>
          <w:tcPr>
            <w:tcW w:type="dxa" w:w="5112"/>
          </w:tcPr>
          <w:p>
            <w:r>
              <w:t>Converts configured epoch timestamps to Dates and applies date formatting.</w:t>
            </w:r>
          </w:p>
        </w:tc>
      </w:tr>
    </w:tbl>
    <w:p>
      <w:pPr>
        <w:pStyle w:val="Heading1"/>
      </w:pPr>
      <w:r>
        <w:t>17. Testing Approach</w:t>
      </w:r>
    </w:p>
    <w:p>
      <w:r>
        <w:t>The script uses CN_DRY_RUN to validate discovery, filtering, deduplication, and output counts without creating or writing consolidated sheets. The recommended workflow is to run with CN_DRY_RUN = true first, review the logs, and only then switch it to false for the live write.</w:t>
      </w:r>
    </w:p>
    <w:p>
      <w:pPr>
        <w:pStyle w:val="Heading1"/>
      </w:pPr>
      <w:r>
        <w:t>18. Final Outcome</w:t>
      </w:r>
    </w:p>
    <w:p>
      <w:r>
        <w:t>The reseller Online consolidation logic was extended from a single hardcoded Germany/Mettenmeier case to a country + company configuration model covering the currently available Germany and France reseller companies. The existing Offline aggregation, canonical mapping, deduplication, Contact Source stamping, formatting, and country-level consolidation flow were retained.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Getac Consolidation – KT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