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436B"/>
        </w:rPr>
        <w:t>Comprehensive Analysis Report</w:t>
      </w:r>
    </w:p>
    <w:p>
      <w:r>
        <w:rPr>
          <w:b/>
          <w:sz w:val="24"/>
        </w:rPr>
        <w:t>Revisiting Hall-Petch strengthening in FCC multi-principal element alloys: best practices for building and auditing machine-learning strength models</w:t>
      </w:r>
    </w:p>
    <w:p>
      <w:r>
        <w:rPr>
          <w:b w:val="0"/>
          <w:sz w:val="19"/>
        </w:rPr>
        <w:t>Companion report to the manuscript in paper/. Every value below is read from results/ or recomputed from data/derived at build time; see docs/reproducing.md for the run order.</w:t>
      </w:r>
    </w:p>
    <w:p/>
    <w:p>
      <w:pPr>
        <w:pStyle w:val="Heading1"/>
      </w:pPr>
      <w:r>
        <w:t>1. Dataset</w:t>
      </w:r>
    </w:p>
    <w:p>
      <w:r>
        <w:rPr>
          <w:b w:val="0"/>
          <w:sz w:val="21"/>
        </w:rPr>
        <w:t>The dataset contains 94 FCC alloy conditions in the Al-Co-Cr-Cu-Fe-Mn-Ni-V system: 93 with yield strength and 94 with Vickers hardness. These represent 82 unique compositions (81 within the YS subset). 9 chemistries recur across 21 records, and 1 composition appears in more than one batch, so leave-one-batch-out reduces but does not remove exact-composition overlap.</w:t>
      </w:r>
    </w:p>
    <w:p>
      <w:r>
        <w:rPr>
          <w:b w:val="0"/>
          <w:sz w:val="21"/>
        </w:rPr>
        <w:t>Mean grain size spans 14.66-211.75 um, yield strength 151.5-544.5 MPa and hardness 57.6-227.5 HV. Mean grain size and its within-map standard deviation are strongly correlated (r = 0.801), so SD_grain is treated as an exploratory measure of distribution width rather than an independent mechanism.</w:t>
      </w:r>
    </w:p>
    <w:p>
      <w:pPr>
        <w:jc w:val="center"/>
      </w:pPr>
      <w:r>
        <w:drawing>
          <wp:inline xmlns:a="http://schemas.openxmlformats.org/drawingml/2006/main" xmlns:pic="http://schemas.openxmlformats.org/drawingml/2006/picture">
            <wp:extent cx="5760720" cy="3797808"/>
            <wp:docPr id="1" name="Picture 1"/>
            <wp:cNvGraphicFramePr>
              <a:graphicFrameLocks noChangeAspect="1"/>
            </wp:cNvGraphicFramePr>
            <a:graphic>
              <a:graphicData uri="http://schemas.openxmlformats.org/drawingml/2006/picture">
                <pic:pic>
                  <pic:nvPicPr>
                    <pic:cNvPr id="0" name="fig_provenance.png"/>
                    <pic:cNvPicPr/>
                  </pic:nvPicPr>
                  <pic:blipFill>
                    <a:blip r:embed="rId9"/>
                    <a:stretch>
                      <a:fillRect/>
                    </a:stretch>
                  </pic:blipFill>
                  <pic:spPr>
                    <a:xfrm>
                      <a:off x="0" y="0"/>
                      <a:ext cx="5760720" cy="3797808"/>
                    </a:xfrm>
                    <a:prstGeom prst="rect"/>
                  </pic:spPr>
                </pic:pic>
              </a:graphicData>
            </a:graphic>
          </wp:inline>
        </w:drawing>
      </w:r>
    </w:p>
    <w:p>
      <w:pPr>
        <w:jc w:val="center"/>
      </w:pPr>
      <w:r>
        <w:rPr>
          <w:i/>
          <w:sz w:val="18"/>
        </w:rPr>
        <w:t>Composition and processing coverage by batch.</w:t>
      </w:r>
    </w:p>
    <w:p>
      <w:r>
        <w:br w:type="page"/>
      </w:r>
    </w:p>
    <w:p>
      <w:pPr>
        <w:pStyle w:val="Heading1"/>
      </w:pPr>
      <w:r>
        <w:t>2. Validation protocol</w:t>
      </w:r>
    </w:p>
    <w:p>
      <w:r>
        <w:rPr>
          <w:b w:val="0"/>
          <w:sz w:val="21"/>
        </w:rPr>
        <w:t>Three internal protocols ask progressively harder questions. All predictions from held-out records are pooled before scoring, so the reported R-squared is a single pooled Q-squared and not the mean of fold-specific values.</w:t>
      </w:r>
    </w:p>
    <w:p>
      <w:pPr>
        <w:pStyle w:val="ListBullet"/>
      </w:pPr>
      <w:r>
        <w:rPr>
          <w:sz w:val="21"/>
        </w:rPr>
        <w:t>Shuffled 5-fold cross-validation (seed 42): interpolation within the pooled dataset.</w:t>
      </w:r>
    </w:p>
    <w:p>
      <w:pPr>
        <w:pStyle w:val="ListBullet"/>
      </w:pPr>
      <w:r>
        <w:rPr>
          <w:sz w:val="21"/>
        </w:rPr>
        <w:t>Leave-one-out: record-level interpolation. A record with the same composition can remain in the training set, so LOO is not a test on unseen compositions.</w:t>
      </w:r>
    </w:p>
    <w:p>
      <w:pPr>
        <w:pStyle w:val="ListBullet"/>
      </w:pPr>
      <w:r>
        <w:rPr>
          <w:sz w:val="21"/>
        </w:rPr>
        <w:t>Leave-one-batch-out across the six BO batches: transfer to an unseen experimental iteration. This is the primary grouped transfer test.</w:t>
      </w:r>
    </w:p>
    <w:p>
      <w:r>
        <w:rPr>
          <w:b w:val="0"/>
          <w:sz w:val="21"/>
        </w:rPr>
        <w:t>A heterogeneous literature set provides an external stress test, and every closed form is checked for poles, sign changes and non-finite values over the observed and literature ranges.</w:t>
      </w:r>
    </w:p>
    <w:p>
      <w:r>
        <w:rPr>
          <w:i/>
          <w:sz w:val="19"/>
        </w:rPr>
        <w:t>Table 1. Pooled out-of-fold R-squared across the three internal protocols.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8"/>
              </w:rPr>
              <w:t>Target</w:t>
            </w:r>
          </w:p>
        </w:tc>
        <w:tc>
          <w:tcPr>
            <w:tcW w:type="dxa" w:w="1930"/>
          </w:tcPr>
          <w:p>
            <w:r>
              <w:rPr>
                <w:b/>
                <w:sz w:val="18"/>
              </w:rPr>
              <w:t>Model</w:t>
            </w:r>
          </w:p>
        </w:tc>
        <w:tc>
          <w:tcPr>
            <w:tcW w:type="dxa" w:w="1930"/>
          </w:tcPr>
          <w:p>
            <w:r>
              <w:rPr>
                <w:b/>
                <w:sz w:val="18"/>
              </w:rPr>
              <w:t>5-fold</w:t>
            </w:r>
          </w:p>
        </w:tc>
        <w:tc>
          <w:tcPr>
            <w:tcW w:type="dxa" w:w="1930"/>
          </w:tcPr>
          <w:p>
            <w:r>
              <w:rPr>
                <w:b/>
                <w:sz w:val="18"/>
              </w:rPr>
              <w:t>LOO</w:t>
            </w:r>
          </w:p>
        </w:tc>
        <w:tc>
          <w:tcPr>
            <w:tcW w:type="dxa" w:w="1930"/>
          </w:tcPr>
          <w:p>
            <w:r>
              <w:rPr>
                <w:b/>
                <w:sz w:val="18"/>
              </w:rPr>
              <w:t>LOBO</w:t>
            </w:r>
          </w:p>
        </w:tc>
      </w:tr>
      <w:tr>
        <w:tc>
          <w:tcPr>
            <w:tcW w:type="dxa" w:w="1930"/>
          </w:tcPr>
          <w:p>
            <w:r>
              <w:rPr>
                <w:sz w:val="18"/>
              </w:rPr>
              <w:t>HV</w:t>
            </w:r>
          </w:p>
        </w:tc>
        <w:tc>
          <w:tcPr>
            <w:tcW w:type="dxa" w:w="1930"/>
          </w:tcPr>
          <w:p>
            <w:r>
              <w:rPr>
                <w:sz w:val="18"/>
              </w:rPr>
              <w:t>F1 classical Hall-Petch</w:t>
            </w:r>
          </w:p>
        </w:tc>
        <w:tc>
          <w:tcPr>
            <w:tcW w:type="dxa" w:w="1930"/>
          </w:tcPr>
          <w:p>
            <w:r>
              <w:rPr>
                <w:sz w:val="18"/>
              </w:rPr>
              <w:t>0.086</w:t>
            </w:r>
          </w:p>
        </w:tc>
        <w:tc>
          <w:tcPr>
            <w:tcW w:type="dxa" w:w="1930"/>
          </w:tcPr>
          <w:p>
            <w:r>
              <w:rPr>
                <w:sz w:val="18"/>
              </w:rPr>
              <w:t>0.136</w:t>
            </w:r>
          </w:p>
        </w:tc>
        <w:tc>
          <w:tcPr>
            <w:tcW w:type="dxa" w:w="1930"/>
          </w:tcPr>
          <w:p>
            <w:r>
              <w:rPr>
                <w:sz w:val="18"/>
              </w:rPr>
              <w:t>-0.077</w:t>
            </w:r>
          </w:p>
        </w:tc>
      </w:tr>
      <w:tr>
        <w:tc>
          <w:tcPr>
            <w:tcW w:type="dxa" w:w="1930"/>
          </w:tcPr>
          <w:p>
            <w:r>
              <w:rPr>
                <w:sz w:val="18"/>
              </w:rPr>
              <w:t>HV</w:t>
            </w:r>
          </w:p>
        </w:tc>
        <w:tc>
          <w:tcPr>
            <w:tcW w:type="dxa" w:w="1930"/>
          </w:tcPr>
          <w:p>
            <w:r>
              <w:rPr>
                <w:sz w:val="18"/>
              </w:rPr>
              <w:t>F4 LightGBM S1</w:t>
            </w:r>
          </w:p>
        </w:tc>
        <w:tc>
          <w:tcPr>
            <w:tcW w:type="dxa" w:w="1930"/>
          </w:tcPr>
          <w:p>
            <w:r>
              <w:rPr>
                <w:sz w:val="18"/>
              </w:rPr>
              <w:t>0.195</w:t>
            </w:r>
          </w:p>
        </w:tc>
        <w:tc>
          <w:tcPr>
            <w:tcW w:type="dxa" w:w="1930"/>
          </w:tcPr>
          <w:p>
            <w:r>
              <w:rPr>
                <w:sz w:val="18"/>
              </w:rPr>
              <w:t>0.323</w:t>
            </w:r>
          </w:p>
        </w:tc>
        <w:tc>
          <w:tcPr>
            <w:tcW w:type="dxa" w:w="1930"/>
          </w:tcPr>
          <w:p>
            <w:r>
              <w:rPr>
                <w:sz w:val="18"/>
              </w:rPr>
              <w:t>0.112</w:t>
            </w:r>
          </w:p>
        </w:tc>
      </w:tr>
      <w:tr>
        <w:tc>
          <w:tcPr>
            <w:tcW w:type="dxa" w:w="1930"/>
          </w:tcPr>
          <w:p>
            <w:r>
              <w:rPr>
                <w:sz w:val="18"/>
              </w:rPr>
              <w:t>HV</w:t>
            </w:r>
          </w:p>
        </w:tc>
        <w:tc>
          <w:tcPr>
            <w:tcW w:type="dxa" w:w="1930"/>
          </w:tcPr>
          <w:p>
            <w:r>
              <w:rPr>
                <w:sz w:val="18"/>
              </w:rPr>
              <w:t>F5 HV fixed form</w:t>
            </w:r>
          </w:p>
        </w:tc>
        <w:tc>
          <w:tcPr>
            <w:tcW w:type="dxa" w:w="1930"/>
          </w:tcPr>
          <w:p>
            <w:r>
              <w:rPr>
                <w:sz w:val="18"/>
              </w:rPr>
              <w:t>0.725</w:t>
            </w:r>
          </w:p>
        </w:tc>
        <w:tc>
          <w:tcPr>
            <w:tcW w:type="dxa" w:w="1930"/>
          </w:tcPr>
          <w:p>
            <w:r>
              <w:rPr>
                <w:sz w:val="18"/>
              </w:rPr>
              <w:t>0.727</w:t>
            </w:r>
          </w:p>
        </w:tc>
        <w:tc>
          <w:tcPr>
            <w:tcW w:type="dxa" w:w="1930"/>
          </w:tcPr>
          <w:p>
            <w:r>
              <w:rPr>
                <w:sz w:val="18"/>
              </w:rPr>
              <w:t>0.636</w:t>
            </w:r>
          </w:p>
        </w:tc>
      </w:tr>
      <w:tr>
        <w:tc>
          <w:tcPr>
            <w:tcW w:type="dxa" w:w="1930"/>
          </w:tcPr>
          <w:p>
            <w:r>
              <w:rPr>
                <w:sz w:val="18"/>
              </w:rPr>
              <w:t>YS</w:t>
            </w:r>
          </w:p>
        </w:tc>
        <w:tc>
          <w:tcPr>
            <w:tcW w:type="dxa" w:w="1930"/>
          </w:tcPr>
          <w:p>
            <w:r>
              <w:rPr>
                <w:sz w:val="18"/>
              </w:rPr>
              <w:t>F1 classical Hall-Petch</w:t>
            </w:r>
          </w:p>
        </w:tc>
        <w:tc>
          <w:tcPr>
            <w:tcW w:type="dxa" w:w="1930"/>
          </w:tcPr>
          <w:p>
            <w:r>
              <w:rPr>
                <w:sz w:val="18"/>
              </w:rPr>
              <w:t>0.405</w:t>
            </w:r>
          </w:p>
        </w:tc>
        <w:tc>
          <w:tcPr>
            <w:tcW w:type="dxa" w:w="1930"/>
          </w:tcPr>
          <w:p>
            <w:r>
              <w:rPr>
                <w:sz w:val="18"/>
              </w:rPr>
              <w:t>0.406</w:t>
            </w:r>
          </w:p>
        </w:tc>
        <w:tc>
          <w:tcPr>
            <w:tcW w:type="dxa" w:w="1930"/>
          </w:tcPr>
          <w:p>
            <w:r>
              <w:rPr>
                <w:sz w:val="18"/>
              </w:rPr>
              <w:t>0.373</w:t>
            </w:r>
          </w:p>
        </w:tc>
      </w:tr>
      <w:tr>
        <w:tc>
          <w:tcPr>
            <w:tcW w:type="dxa" w:w="1930"/>
          </w:tcPr>
          <w:p>
            <w:r>
              <w:rPr>
                <w:sz w:val="18"/>
              </w:rPr>
              <w:t>YS</w:t>
            </w:r>
          </w:p>
        </w:tc>
        <w:tc>
          <w:tcPr>
            <w:tcW w:type="dxa" w:w="1930"/>
          </w:tcPr>
          <w:p>
            <w:r>
              <w:rPr>
                <w:sz w:val="18"/>
              </w:rPr>
              <w:t>F2 PCA-OLS</w:t>
            </w:r>
          </w:p>
        </w:tc>
        <w:tc>
          <w:tcPr>
            <w:tcW w:type="dxa" w:w="1930"/>
          </w:tcPr>
          <w:p>
            <w:r>
              <w:rPr>
                <w:sz w:val="18"/>
              </w:rPr>
              <w:t>0.462</w:t>
            </w:r>
          </w:p>
        </w:tc>
        <w:tc>
          <w:tcPr>
            <w:tcW w:type="dxa" w:w="1930"/>
          </w:tcPr>
          <w:p>
            <w:r>
              <w:rPr>
                <w:sz w:val="18"/>
              </w:rPr>
              <w:t>0.480</w:t>
            </w:r>
          </w:p>
        </w:tc>
        <w:tc>
          <w:tcPr>
            <w:tcW w:type="dxa" w:w="1930"/>
          </w:tcPr>
          <w:p>
            <w:r>
              <w:rPr>
                <w:sz w:val="18"/>
              </w:rPr>
              <w:t>0.362</w:t>
            </w:r>
          </w:p>
        </w:tc>
      </w:tr>
      <w:tr>
        <w:tc>
          <w:tcPr>
            <w:tcW w:type="dxa" w:w="1930"/>
          </w:tcPr>
          <w:p>
            <w:r>
              <w:rPr>
                <w:sz w:val="18"/>
              </w:rPr>
              <w:t>YS</w:t>
            </w:r>
          </w:p>
        </w:tc>
        <w:tc>
          <w:tcPr>
            <w:tcW w:type="dxa" w:w="1930"/>
          </w:tcPr>
          <w:p>
            <w:r>
              <w:rPr>
                <w:sz w:val="18"/>
              </w:rPr>
              <w:t>F3 M15 SD-grain interaction</w:t>
            </w:r>
          </w:p>
        </w:tc>
        <w:tc>
          <w:tcPr>
            <w:tcW w:type="dxa" w:w="1930"/>
          </w:tcPr>
          <w:p>
            <w:r>
              <w:rPr>
                <w:sz w:val="18"/>
              </w:rPr>
              <w:t>0.731</w:t>
            </w:r>
          </w:p>
        </w:tc>
        <w:tc>
          <w:tcPr>
            <w:tcW w:type="dxa" w:w="1930"/>
          </w:tcPr>
          <w:p>
            <w:r>
              <w:rPr>
                <w:sz w:val="18"/>
              </w:rPr>
              <w:t>0.694</w:t>
            </w:r>
          </w:p>
        </w:tc>
        <w:tc>
          <w:tcPr>
            <w:tcW w:type="dxa" w:w="1930"/>
          </w:tcPr>
          <w:p>
            <w:r>
              <w:rPr>
                <w:sz w:val="18"/>
              </w:rPr>
              <w:t>0.694</w:t>
            </w:r>
          </w:p>
        </w:tc>
      </w:tr>
      <w:tr>
        <w:tc>
          <w:tcPr>
            <w:tcW w:type="dxa" w:w="1930"/>
          </w:tcPr>
          <w:p>
            <w:r>
              <w:rPr>
                <w:sz w:val="18"/>
              </w:rPr>
              <w:t>YS</w:t>
            </w:r>
          </w:p>
        </w:tc>
        <w:tc>
          <w:tcPr>
            <w:tcW w:type="dxa" w:w="1930"/>
          </w:tcPr>
          <w:p>
            <w:r>
              <w:rPr>
                <w:sz w:val="18"/>
              </w:rPr>
              <w:t>F3 M3</w:t>
            </w:r>
          </w:p>
        </w:tc>
        <w:tc>
          <w:tcPr>
            <w:tcW w:type="dxa" w:w="1930"/>
          </w:tcPr>
          <w:p>
            <w:r>
              <w:rPr>
                <w:sz w:val="18"/>
              </w:rPr>
              <w:t>0.666</w:t>
            </w:r>
          </w:p>
        </w:tc>
        <w:tc>
          <w:tcPr>
            <w:tcW w:type="dxa" w:w="1930"/>
          </w:tcPr>
          <w:p>
            <w:r>
              <w:rPr>
                <w:sz w:val="18"/>
              </w:rPr>
              <w:t>0.652</w:t>
            </w:r>
          </w:p>
        </w:tc>
        <w:tc>
          <w:tcPr>
            <w:tcW w:type="dxa" w:w="1930"/>
          </w:tcPr>
          <w:p>
            <w:r>
              <w:rPr>
                <w:sz w:val="18"/>
              </w:rPr>
              <w:t>0.625</w:t>
            </w:r>
          </w:p>
        </w:tc>
      </w:tr>
      <w:tr>
        <w:tc>
          <w:tcPr>
            <w:tcW w:type="dxa" w:w="1930"/>
          </w:tcPr>
          <w:p>
            <w:r>
              <w:rPr>
                <w:sz w:val="18"/>
              </w:rPr>
              <w:t>YS</w:t>
            </w:r>
          </w:p>
        </w:tc>
        <w:tc>
          <w:tcPr>
            <w:tcW w:type="dxa" w:w="1930"/>
          </w:tcPr>
          <w:p>
            <w:r>
              <w:rPr>
                <w:sz w:val="18"/>
              </w:rPr>
              <w:t>F4 Lasso S2</w:t>
            </w:r>
          </w:p>
        </w:tc>
        <w:tc>
          <w:tcPr>
            <w:tcW w:type="dxa" w:w="1930"/>
          </w:tcPr>
          <w:p>
            <w:r>
              <w:rPr>
                <w:sz w:val="18"/>
              </w:rPr>
              <w:t>0.683</w:t>
            </w:r>
          </w:p>
        </w:tc>
        <w:tc>
          <w:tcPr>
            <w:tcW w:type="dxa" w:w="1930"/>
          </w:tcPr>
          <w:p>
            <w:r>
              <w:rPr>
                <w:sz w:val="18"/>
              </w:rPr>
              <w:t>0.674</w:t>
            </w:r>
          </w:p>
        </w:tc>
        <w:tc>
          <w:tcPr>
            <w:tcW w:type="dxa" w:w="1930"/>
          </w:tcPr>
          <w:p>
            <w:r>
              <w:rPr>
                <w:sz w:val="18"/>
              </w:rPr>
              <w:t>0.621</w:t>
            </w:r>
          </w:p>
        </w:tc>
      </w:tr>
      <w:tr>
        <w:tc>
          <w:tcPr>
            <w:tcW w:type="dxa" w:w="1930"/>
          </w:tcPr>
          <w:p>
            <w:r>
              <w:rPr>
                <w:sz w:val="18"/>
              </w:rPr>
              <w:t>YS</w:t>
            </w:r>
          </w:p>
        </w:tc>
        <w:tc>
          <w:tcPr>
            <w:tcW w:type="dxa" w:w="1930"/>
          </w:tcPr>
          <w:p>
            <w:r>
              <w:rPr>
                <w:sz w:val="18"/>
              </w:rPr>
              <w:t>F4 LightGBM S2</w:t>
            </w:r>
          </w:p>
        </w:tc>
        <w:tc>
          <w:tcPr>
            <w:tcW w:type="dxa" w:w="1930"/>
          </w:tcPr>
          <w:p>
            <w:r>
              <w:rPr>
                <w:sz w:val="18"/>
              </w:rPr>
              <w:t>0.632</w:t>
            </w:r>
          </w:p>
        </w:tc>
        <w:tc>
          <w:tcPr>
            <w:tcW w:type="dxa" w:w="1930"/>
          </w:tcPr>
          <w:p>
            <w:r>
              <w:rPr>
                <w:sz w:val="18"/>
              </w:rPr>
              <w:t>0.574</w:t>
            </w:r>
          </w:p>
        </w:tc>
        <w:tc>
          <w:tcPr>
            <w:tcW w:type="dxa" w:w="1930"/>
          </w:tcPr>
          <w:p>
            <w:r>
              <w:rPr>
                <w:sz w:val="18"/>
              </w:rPr>
              <w:t>0.615</w:t>
            </w:r>
          </w:p>
        </w:tc>
      </w:tr>
    </w:tbl>
    <w:p/>
    <w:p>
      <w:r>
        <w:br w:type="page"/>
      </w:r>
    </w:p>
    <w:p>
      <w:pPr>
        <w:pStyle w:val="Heading1"/>
      </w:pPr>
      <w:r>
        <w:t>3. Family 1: classical Hall-Petch</w:t>
      </w:r>
    </w:p>
    <w:p>
      <w:r>
        <w:rPr>
          <w:b w:val="0"/>
          <w:sz w:val="21"/>
        </w:rPr>
        <w:t>Yield strength: 5-fold 0.405, LOO 0.406, LOBO 0.373.</w:t>
      </w:r>
    </w:p>
    <w:p>
      <w:r>
        <w:rPr>
          <w:b w:val="0"/>
          <w:sz w:val="21"/>
        </w:rPr>
        <w:t>Vickers hardness: 5-fold 0.086, LOO 0.136, LOBO -0.077.</w:t>
      </w:r>
    </w:p>
    <w:p>
      <w:r>
        <w:rPr>
          <w:b w:val="0"/>
          <w:sz w:val="21"/>
        </w:rPr>
        <w:t>Grain size is a useful, reproducible baseline for yield strength and a poor one for hardness, where the batch-held-out score is negative. Nine pre-specified scaling laws were compared; five two-parameter monotonic forms fall within delta-BIC &lt; 2 of the classical exponent, so the data support d^-1/2 as a parsimonious baseline rather than as a uniquely identified exponent.</w:t>
      </w:r>
    </w:p>
    <w:p>
      <w:pPr>
        <w:jc w:val="center"/>
      </w:pPr>
      <w:r>
        <w:drawing>
          <wp:inline xmlns:a="http://schemas.openxmlformats.org/drawingml/2006/main" xmlns:pic="http://schemas.openxmlformats.org/drawingml/2006/picture">
            <wp:extent cx="5760720" cy="2824892"/>
            <wp:docPr id="2" name="Picture 2"/>
            <wp:cNvGraphicFramePr>
              <a:graphicFrameLocks noChangeAspect="1"/>
            </wp:cNvGraphicFramePr>
            <a:graphic>
              <a:graphicData uri="http://schemas.openxmlformats.org/drawingml/2006/picture">
                <pic:pic>
                  <pic:nvPicPr>
                    <pic:cNvPr id="0" name="fig01_hall_petch.png"/>
                    <pic:cNvPicPr/>
                  </pic:nvPicPr>
                  <pic:blipFill>
                    <a:blip r:embed="rId10"/>
                    <a:stretch>
                      <a:fillRect/>
                    </a:stretch>
                  </pic:blipFill>
                  <pic:spPr>
                    <a:xfrm>
                      <a:off x="0" y="0"/>
                      <a:ext cx="5760720" cy="2824892"/>
                    </a:xfrm>
                    <a:prstGeom prst="rect"/>
                  </pic:spPr>
                </pic:pic>
              </a:graphicData>
            </a:graphic>
          </wp:inline>
        </w:drawing>
      </w:r>
    </w:p>
    <w:p>
      <w:pPr>
        <w:jc w:val="center"/>
      </w:pPr>
      <w:r>
        <w:rPr>
          <w:i/>
          <w:sz w:val="18"/>
        </w:rPr>
        <w:t>Classical Hall-Petch fits for YS and HV, coloured by batch.</w:t>
      </w:r>
    </w:p>
    <w:p>
      <w:pPr>
        <w:jc w:val="center"/>
      </w:pPr>
      <w:r>
        <w:drawing>
          <wp:inline xmlns:a="http://schemas.openxmlformats.org/drawingml/2006/main" xmlns:pic="http://schemas.openxmlformats.org/drawingml/2006/picture">
            <wp:extent cx="5760720" cy="2721105"/>
            <wp:docPr id="3" name="Picture 3"/>
            <wp:cNvGraphicFramePr>
              <a:graphicFrameLocks noChangeAspect="1"/>
            </wp:cNvGraphicFramePr>
            <a:graphic>
              <a:graphicData uri="http://schemas.openxmlformats.org/drawingml/2006/picture">
                <pic:pic>
                  <pic:nvPicPr>
                    <pic:cNvPr id="0" name="fig_scaling_deltabic.png"/>
                    <pic:cNvPicPr/>
                  </pic:nvPicPr>
                  <pic:blipFill>
                    <a:blip r:embed="rId11"/>
                    <a:stretch>
                      <a:fillRect/>
                    </a:stretch>
                  </pic:blipFill>
                  <pic:spPr>
                    <a:xfrm>
                      <a:off x="0" y="0"/>
                      <a:ext cx="5760720" cy="2721105"/>
                    </a:xfrm>
                    <a:prstGeom prst="rect"/>
                  </pic:spPr>
                </pic:pic>
              </a:graphicData>
            </a:graphic>
          </wp:inline>
        </w:drawing>
      </w:r>
    </w:p>
    <w:p>
      <w:pPr>
        <w:jc w:val="center"/>
      </w:pPr>
      <w:r>
        <w:rPr>
          <w:i/>
          <w:sz w:val="18"/>
        </w:rPr>
        <w:t>Information-criterion comparison of the nine grain-size scaling laws.</w:t>
      </w:r>
    </w:p>
    <w:p>
      <w:r>
        <w:br w:type="page"/>
      </w:r>
    </w:p>
    <w:p>
      <w:pPr>
        <w:pStyle w:val="Heading1"/>
      </w:pPr>
      <w:r>
        <w:t>4. Family 2: physics-derived descriptors</w:t>
      </w:r>
    </w:p>
    <w:p>
      <w:r>
        <w:rPr>
          <w:b w:val="0"/>
          <w:sz w:val="21"/>
        </w:rPr>
        <w:t>Three solid-solution-strengthening models (Varvenne-Leyson-Curtin, a weighted Labusch extension, and Toda-Caraballo) were implemented from their source papers using Vegard-law volumes and rule-of-mixtures elastic constants. Each was scored on three separate axes: standalone accuracy, marginal value alongside Hall-Petch, and information content beyond raw composition.</w:t>
      </w:r>
    </w:p>
    <w:p>
      <w:r>
        <w:rPr>
          <w:b w:val="0"/>
          <w:sz w:val="21"/>
        </w:rPr>
        <w:t>The decisive test is redundancy. All three formulas are deterministic functions of composition, so any model given the elemental fractions can encode whatever transformation they express. Appending an SSS estimate to a composition model changes LOO R-squared by at most 0.002, and every partial correlation after removing composition is below 0.10 in magnitude.</w:t>
      </w:r>
    </w:p>
    <w:p>
      <w:r>
        <w:rPr>
          <w:b w:val="0"/>
          <w:sz w:val="21"/>
        </w:rPr>
        <w:t>Fold-contained PCA-OLS gives 5-fold 0.462, LOO 0.480, LOBO 0.362. Fitting the scaler and PCA on all records before splitting had produced 0.525 / 0.516 / 0.441, so even unsupervised preprocessing inflates held-out scores when it precedes the split.</w:t>
      </w:r>
    </w:p>
    <w:p>
      <w:pPr>
        <w:jc w:val="center"/>
      </w:pPr>
      <w:r>
        <w:drawing>
          <wp:inline xmlns:a="http://schemas.openxmlformats.org/drawingml/2006/main" xmlns:pic="http://schemas.openxmlformats.org/drawingml/2006/picture">
            <wp:extent cx="5760720" cy="2267033"/>
            <wp:docPr id="4" name="Picture 4"/>
            <wp:cNvGraphicFramePr>
              <a:graphicFrameLocks noChangeAspect="1"/>
            </wp:cNvGraphicFramePr>
            <a:graphic>
              <a:graphicData uri="http://schemas.openxmlformats.org/drawingml/2006/picture">
                <pic:pic>
                  <pic:nvPicPr>
                    <pic:cNvPr id="0" name="fig_sss_parity.png"/>
                    <pic:cNvPicPr/>
                  </pic:nvPicPr>
                  <pic:blipFill>
                    <a:blip r:embed="rId12"/>
                    <a:stretch>
                      <a:fillRect/>
                    </a:stretch>
                  </pic:blipFill>
                  <pic:spPr>
                    <a:xfrm>
                      <a:off x="0" y="0"/>
                      <a:ext cx="5760720" cy="2267033"/>
                    </a:xfrm>
                    <a:prstGeom prst="rect"/>
                  </pic:spPr>
                </pic:pic>
              </a:graphicData>
            </a:graphic>
          </wp:inline>
        </w:drawing>
      </w:r>
    </w:p>
    <w:p>
      <w:pPr>
        <w:jc w:val="center"/>
      </w:pPr>
      <w:r>
        <w:rPr>
          <w:i/>
          <w:sz w:val="18"/>
        </w:rPr>
        <w:t>SSS predictions against Hall-Petch-corrected experimental friction stress.</w:t>
      </w:r>
    </w:p>
    <w:p>
      <w:r>
        <w:br w:type="page"/>
      </w:r>
    </w:p>
    <w:p>
      <w:pPr>
        <w:pStyle w:val="Heading1"/>
      </w:pPr>
      <w:r>
        <w:t>5. Family 3: composition and processing</w:t>
      </w:r>
    </w:p>
    <w:p>
      <w:r>
        <w:rPr>
          <w:i/>
          <w:sz w:val="19"/>
        </w:rPr>
        <w:t>Table 2. The M-model hierarchy, recomputed at build time.</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8"/>
              </w:rPr>
              <w:t>Model</w:t>
            </w:r>
          </w:p>
        </w:tc>
        <w:tc>
          <w:tcPr>
            <w:tcW w:type="dxa" w:w="1608"/>
          </w:tcPr>
          <w:p>
            <w:r>
              <w:rPr>
                <w:b/>
                <w:sz w:val="18"/>
              </w:rPr>
              <w:t>p</w:t>
            </w:r>
          </w:p>
        </w:tc>
        <w:tc>
          <w:tcPr>
            <w:tcW w:type="dxa" w:w="1608"/>
          </w:tcPr>
          <w:p>
            <w:r>
              <w:rPr>
                <w:b/>
                <w:sz w:val="18"/>
              </w:rPr>
              <w:t>5-fold</w:t>
            </w:r>
          </w:p>
        </w:tc>
        <w:tc>
          <w:tcPr>
            <w:tcW w:type="dxa" w:w="1608"/>
          </w:tcPr>
          <w:p>
            <w:r>
              <w:rPr>
                <w:b/>
                <w:sz w:val="18"/>
              </w:rPr>
              <w:t>LOO</w:t>
            </w:r>
          </w:p>
        </w:tc>
        <w:tc>
          <w:tcPr>
            <w:tcW w:type="dxa" w:w="1608"/>
          </w:tcPr>
          <w:p>
            <w:r>
              <w:rPr>
                <w:b/>
                <w:sz w:val="18"/>
              </w:rPr>
              <w:t>LOBO</w:t>
            </w:r>
          </w:p>
        </w:tc>
        <w:tc>
          <w:tcPr>
            <w:tcW w:type="dxa" w:w="1608"/>
          </w:tcPr>
          <w:p>
            <w:r>
              <w:rPr>
                <w:b/>
                <w:sz w:val="18"/>
              </w:rPr>
              <w:t>dBIC vs M3</w:t>
            </w:r>
          </w:p>
        </w:tc>
      </w:tr>
      <w:tr>
        <w:tc>
          <w:tcPr>
            <w:tcW w:type="dxa" w:w="1608"/>
          </w:tcPr>
          <w:p>
            <w:r>
              <w:rPr>
                <w:sz w:val="18"/>
              </w:rPr>
              <w:t>M0: baseline Hall-Petch</w:t>
            </w:r>
          </w:p>
        </w:tc>
        <w:tc>
          <w:tcPr>
            <w:tcW w:type="dxa" w:w="1608"/>
          </w:tcPr>
          <w:p>
            <w:r>
              <w:rPr>
                <w:sz w:val="18"/>
              </w:rPr>
              <w:t>2.000</w:t>
            </w:r>
          </w:p>
        </w:tc>
        <w:tc>
          <w:tcPr>
            <w:tcW w:type="dxa" w:w="1608"/>
          </w:tcPr>
          <w:p>
            <w:r>
              <w:rPr>
                <w:sz w:val="18"/>
              </w:rPr>
              <w:t>0.405</w:t>
            </w:r>
          </w:p>
        </w:tc>
        <w:tc>
          <w:tcPr>
            <w:tcW w:type="dxa" w:w="1608"/>
          </w:tcPr>
          <w:p>
            <w:r>
              <w:rPr>
                <w:sz w:val="18"/>
              </w:rPr>
              <w:t>0.406</w:t>
            </w:r>
          </w:p>
        </w:tc>
        <w:tc>
          <w:tcPr>
            <w:tcW w:type="dxa" w:w="1608"/>
          </w:tcPr>
          <w:p>
            <w:r>
              <w:rPr>
                <w:sz w:val="18"/>
              </w:rPr>
              <w:t>0.373</w:t>
            </w:r>
          </w:p>
        </w:tc>
        <w:tc>
          <w:tcPr>
            <w:tcW w:type="dxa" w:w="1608"/>
          </w:tcPr>
          <w:p>
            <w:r>
              <w:rPr>
                <w:sz w:val="18"/>
              </w:rPr>
              <w:t>36.524</w:t>
            </w:r>
          </w:p>
        </w:tc>
      </w:tr>
      <w:tr>
        <w:tc>
          <w:tcPr>
            <w:tcW w:type="dxa" w:w="1608"/>
          </w:tcPr>
          <w:p>
            <w:r>
              <w:rPr>
                <w:sz w:val="18"/>
              </w:rPr>
              <w:t>M1: sigma_0(V)</w:t>
            </w:r>
          </w:p>
        </w:tc>
        <w:tc>
          <w:tcPr>
            <w:tcW w:type="dxa" w:w="1608"/>
          </w:tcPr>
          <w:p>
            <w:r>
              <w:rPr>
                <w:sz w:val="18"/>
              </w:rPr>
              <w:t>3.000</w:t>
            </w:r>
          </w:p>
        </w:tc>
        <w:tc>
          <w:tcPr>
            <w:tcW w:type="dxa" w:w="1608"/>
          </w:tcPr>
          <w:p>
            <w:r>
              <w:rPr>
                <w:sz w:val="18"/>
              </w:rPr>
              <w:t>0.609</w:t>
            </w:r>
          </w:p>
        </w:tc>
        <w:tc>
          <w:tcPr>
            <w:tcW w:type="dxa" w:w="1608"/>
          </w:tcPr>
          <w:p>
            <w:r>
              <w:rPr>
                <w:sz w:val="18"/>
              </w:rPr>
              <w:t>0.605</w:t>
            </w:r>
          </w:p>
        </w:tc>
        <w:tc>
          <w:tcPr>
            <w:tcW w:type="dxa" w:w="1608"/>
          </w:tcPr>
          <w:p>
            <w:r>
              <w:rPr>
                <w:sz w:val="18"/>
              </w:rPr>
              <w:t>0.584</w:t>
            </w:r>
          </w:p>
        </w:tc>
        <w:tc>
          <w:tcPr>
            <w:tcW w:type="dxa" w:w="1608"/>
          </w:tcPr>
          <w:p>
            <w:r>
              <w:rPr>
                <w:sz w:val="18"/>
              </w:rPr>
              <w:t>1.444</w:t>
            </w:r>
          </w:p>
        </w:tc>
      </w:tr>
      <w:tr>
        <w:tc>
          <w:tcPr>
            <w:tcW w:type="dxa" w:w="1608"/>
          </w:tcPr>
          <w:p>
            <w:r>
              <w:rPr>
                <w:sz w:val="18"/>
              </w:rPr>
              <w:t>M3: sigma_0(all 7 elements)</w:t>
            </w:r>
          </w:p>
        </w:tc>
        <w:tc>
          <w:tcPr>
            <w:tcW w:type="dxa" w:w="1608"/>
          </w:tcPr>
          <w:p>
            <w:r>
              <w:rPr>
                <w:sz w:val="18"/>
              </w:rPr>
              <w:t>9.000</w:t>
            </w:r>
          </w:p>
        </w:tc>
        <w:tc>
          <w:tcPr>
            <w:tcW w:type="dxa" w:w="1608"/>
          </w:tcPr>
          <w:p>
            <w:r>
              <w:rPr>
                <w:sz w:val="18"/>
              </w:rPr>
              <w:t>0.666</w:t>
            </w:r>
          </w:p>
        </w:tc>
        <w:tc>
          <w:tcPr>
            <w:tcW w:type="dxa" w:w="1608"/>
          </w:tcPr>
          <w:p>
            <w:r>
              <w:rPr>
                <w:sz w:val="18"/>
              </w:rPr>
              <w:t>0.652</w:t>
            </w:r>
          </w:p>
        </w:tc>
        <w:tc>
          <w:tcPr>
            <w:tcW w:type="dxa" w:w="1608"/>
          </w:tcPr>
          <w:p>
            <w:r>
              <w:rPr>
                <w:sz w:val="18"/>
              </w:rPr>
              <w:t>0.625</w:t>
            </w:r>
          </w:p>
        </w:tc>
        <w:tc>
          <w:tcPr>
            <w:tcW w:type="dxa" w:w="1608"/>
          </w:tcPr>
          <w:p>
            <w:r>
              <w:rPr>
                <w:sz w:val="18"/>
              </w:rPr>
              <w:t>0.000</w:t>
            </w:r>
          </w:p>
        </w:tc>
      </w:tr>
      <w:tr>
        <w:tc>
          <w:tcPr>
            <w:tcW w:type="dxa" w:w="1608"/>
          </w:tcPr>
          <w:p>
            <w:r>
              <w:rPr>
                <w:sz w:val="18"/>
              </w:rPr>
              <w:t>M4: k(V)</w:t>
            </w:r>
          </w:p>
        </w:tc>
        <w:tc>
          <w:tcPr>
            <w:tcW w:type="dxa" w:w="1608"/>
          </w:tcPr>
          <w:p>
            <w:r>
              <w:rPr>
                <w:sz w:val="18"/>
              </w:rPr>
              <w:t>3.000</w:t>
            </w:r>
          </w:p>
        </w:tc>
        <w:tc>
          <w:tcPr>
            <w:tcW w:type="dxa" w:w="1608"/>
          </w:tcPr>
          <w:p>
            <w:r>
              <w:rPr>
                <w:sz w:val="18"/>
              </w:rPr>
              <w:t>0.602</w:t>
            </w:r>
          </w:p>
        </w:tc>
        <w:tc>
          <w:tcPr>
            <w:tcW w:type="dxa" w:w="1608"/>
          </w:tcPr>
          <w:p>
            <w:r>
              <w:rPr>
                <w:sz w:val="18"/>
              </w:rPr>
              <w:t>0.598</w:t>
            </w:r>
          </w:p>
        </w:tc>
        <w:tc>
          <w:tcPr>
            <w:tcW w:type="dxa" w:w="1608"/>
          </w:tcPr>
          <w:p>
            <w:r>
              <w:rPr>
                <w:sz w:val="18"/>
              </w:rPr>
              <w:t>0.557</w:t>
            </w:r>
          </w:p>
        </w:tc>
        <w:tc>
          <w:tcPr>
            <w:tcW w:type="dxa" w:w="1608"/>
          </w:tcPr>
          <w:p>
            <w:r>
              <w:rPr>
                <w:sz w:val="18"/>
              </w:rPr>
              <w:t>3.212</w:t>
            </w:r>
          </w:p>
        </w:tc>
      </w:tr>
      <w:tr>
        <w:tc>
          <w:tcPr>
            <w:tcW w:type="dxa" w:w="1608"/>
          </w:tcPr>
          <w:p>
            <w:r>
              <w:rPr>
                <w:sz w:val="18"/>
              </w:rPr>
              <w:t>M6: k(all 7 elements)</w:t>
            </w:r>
          </w:p>
        </w:tc>
        <w:tc>
          <w:tcPr>
            <w:tcW w:type="dxa" w:w="1608"/>
          </w:tcPr>
          <w:p>
            <w:r>
              <w:rPr>
                <w:sz w:val="18"/>
              </w:rPr>
              <w:t>9.000</w:t>
            </w:r>
          </w:p>
        </w:tc>
        <w:tc>
          <w:tcPr>
            <w:tcW w:type="dxa" w:w="1608"/>
          </w:tcPr>
          <w:p>
            <w:r>
              <w:rPr>
                <w:sz w:val="18"/>
              </w:rPr>
              <w:t>0.638</w:t>
            </w:r>
          </w:p>
        </w:tc>
        <w:tc>
          <w:tcPr>
            <w:tcW w:type="dxa" w:w="1608"/>
          </w:tcPr>
          <w:p>
            <w:r>
              <w:rPr>
                <w:sz w:val="18"/>
              </w:rPr>
              <w:t>0.622</w:t>
            </w:r>
          </w:p>
        </w:tc>
        <w:tc>
          <w:tcPr>
            <w:tcW w:type="dxa" w:w="1608"/>
          </w:tcPr>
          <w:p>
            <w:r>
              <w:rPr>
                <w:sz w:val="18"/>
              </w:rPr>
              <w:t>0.537</w:t>
            </w:r>
          </w:p>
        </w:tc>
        <w:tc>
          <w:tcPr>
            <w:tcW w:type="dxa" w:w="1608"/>
          </w:tcPr>
          <w:p>
            <w:r>
              <w:rPr>
                <w:sz w:val="18"/>
              </w:rPr>
              <w:t>5.524</w:t>
            </w:r>
          </w:p>
        </w:tc>
      </w:tr>
      <w:tr>
        <w:tc>
          <w:tcPr>
            <w:tcW w:type="dxa" w:w="1608"/>
          </w:tcPr>
          <w:p>
            <w:r>
              <w:rPr>
                <w:sz w:val="18"/>
              </w:rPr>
              <w:t>M10: sigma_0 + k (all)</w:t>
            </w:r>
          </w:p>
        </w:tc>
        <w:tc>
          <w:tcPr>
            <w:tcW w:type="dxa" w:w="1608"/>
          </w:tcPr>
          <w:p>
            <w:r>
              <w:rPr>
                <w:sz w:val="18"/>
              </w:rPr>
              <w:t>16.000</w:t>
            </w:r>
          </w:p>
        </w:tc>
        <w:tc>
          <w:tcPr>
            <w:tcW w:type="dxa" w:w="1608"/>
          </w:tcPr>
          <w:p>
            <w:r>
              <w:rPr>
                <w:sz w:val="18"/>
              </w:rPr>
              <w:t>0.641</w:t>
            </w:r>
          </w:p>
        </w:tc>
        <w:tc>
          <w:tcPr>
            <w:tcW w:type="dxa" w:w="1608"/>
          </w:tcPr>
          <w:p>
            <w:r>
              <w:rPr>
                <w:sz w:val="18"/>
              </w:rPr>
              <w:t>0.650</w:t>
            </w:r>
          </w:p>
        </w:tc>
        <w:tc>
          <w:tcPr>
            <w:tcW w:type="dxa" w:w="1608"/>
          </w:tcPr>
          <w:p>
            <w:r>
              <w:rPr>
                <w:sz w:val="18"/>
              </w:rPr>
              <w:t>0.587</w:t>
            </w:r>
          </w:p>
        </w:tc>
        <w:tc>
          <w:tcPr>
            <w:tcW w:type="dxa" w:w="1608"/>
          </w:tcPr>
          <w:p>
            <w:r>
              <w:rPr>
                <w:sz w:val="18"/>
              </w:rPr>
              <w:t>17.255</w:t>
            </w:r>
          </w:p>
        </w:tc>
      </w:tr>
      <w:tr>
        <w:tc>
          <w:tcPr>
            <w:tcW w:type="dxa" w:w="1608"/>
          </w:tcPr>
          <w:p>
            <w:r>
              <w:rPr>
                <w:sz w:val="18"/>
              </w:rPr>
              <w:t>M11: sigma_0(delta)</w:t>
            </w:r>
          </w:p>
        </w:tc>
        <w:tc>
          <w:tcPr>
            <w:tcW w:type="dxa" w:w="1608"/>
          </w:tcPr>
          <w:p>
            <w:r>
              <w:rPr>
                <w:sz w:val="18"/>
              </w:rPr>
              <w:t>3.000</w:t>
            </w:r>
          </w:p>
        </w:tc>
        <w:tc>
          <w:tcPr>
            <w:tcW w:type="dxa" w:w="1608"/>
          </w:tcPr>
          <w:p>
            <w:r>
              <w:rPr>
                <w:sz w:val="18"/>
              </w:rPr>
              <w:t>0.452</w:t>
            </w:r>
          </w:p>
        </w:tc>
        <w:tc>
          <w:tcPr>
            <w:tcW w:type="dxa" w:w="1608"/>
          </w:tcPr>
          <w:p>
            <w:r>
              <w:rPr>
                <w:sz w:val="18"/>
              </w:rPr>
              <w:t>0.456</w:t>
            </w:r>
          </w:p>
        </w:tc>
        <w:tc>
          <w:tcPr>
            <w:tcW w:type="dxa" w:w="1608"/>
          </w:tcPr>
          <w:p>
            <w:r>
              <w:rPr>
                <w:sz w:val="18"/>
              </w:rPr>
              <w:t>0.392</w:t>
            </w:r>
          </w:p>
        </w:tc>
        <w:tc>
          <w:tcPr>
            <w:tcW w:type="dxa" w:w="1608"/>
          </w:tcPr>
          <w:p>
            <w:r>
              <w:rPr>
                <w:sz w:val="18"/>
              </w:rPr>
              <w:t>31.313</w:t>
            </w:r>
          </w:p>
        </w:tc>
      </w:tr>
      <w:tr>
        <w:tc>
          <w:tcPr>
            <w:tcW w:type="dxa" w:w="1608"/>
          </w:tcPr>
          <w:p>
            <w:r>
              <w:rPr>
                <w:sz w:val="18"/>
              </w:rPr>
              <w:t>M13: M3 + SD_grain</w:t>
            </w:r>
          </w:p>
        </w:tc>
        <w:tc>
          <w:tcPr>
            <w:tcW w:type="dxa" w:w="1608"/>
          </w:tcPr>
          <w:p>
            <w:r>
              <w:rPr>
                <w:sz w:val="18"/>
              </w:rPr>
              <w:t>10.000</w:t>
            </w:r>
          </w:p>
        </w:tc>
        <w:tc>
          <w:tcPr>
            <w:tcW w:type="dxa" w:w="1608"/>
          </w:tcPr>
          <w:p>
            <w:r>
              <w:rPr>
                <w:sz w:val="18"/>
              </w:rPr>
              <w:t>0.658</w:t>
            </w:r>
          </w:p>
        </w:tc>
        <w:tc>
          <w:tcPr>
            <w:tcW w:type="dxa" w:w="1608"/>
          </w:tcPr>
          <w:p>
            <w:r>
              <w:rPr>
                <w:sz w:val="18"/>
              </w:rPr>
              <w:t>0.668</w:t>
            </w:r>
          </w:p>
        </w:tc>
        <w:tc>
          <w:tcPr>
            <w:tcW w:type="dxa" w:w="1608"/>
          </w:tcPr>
          <w:p>
            <w:r>
              <w:rPr>
                <w:sz w:val="18"/>
              </w:rPr>
              <w:t>0.595</w:t>
            </w:r>
          </w:p>
        </w:tc>
        <w:tc>
          <w:tcPr>
            <w:tcW w:type="dxa" w:w="1608"/>
          </w:tcPr>
          <w:p>
            <w:r>
              <w:rPr>
                <w:sz w:val="18"/>
              </w:rPr>
              <w:t>-2.340</w:t>
            </w:r>
          </w:p>
        </w:tc>
      </w:tr>
      <w:tr>
        <w:tc>
          <w:tcPr>
            <w:tcW w:type="dxa" w:w="1608"/>
          </w:tcPr>
          <w:p>
            <w:r>
              <w:rPr>
                <w:sz w:val="18"/>
              </w:rPr>
              <w:t>M15: M3 + SD_grain + SD*d^-1/2</w:t>
            </w:r>
          </w:p>
        </w:tc>
        <w:tc>
          <w:tcPr>
            <w:tcW w:type="dxa" w:w="1608"/>
          </w:tcPr>
          <w:p>
            <w:r>
              <w:rPr>
                <w:sz w:val="18"/>
              </w:rPr>
              <w:t>11.000</w:t>
            </w:r>
          </w:p>
        </w:tc>
        <w:tc>
          <w:tcPr>
            <w:tcW w:type="dxa" w:w="1608"/>
          </w:tcPr>
          <w:p>
            <w:r>
              <w:rPr>
                <w:sz w:val="18"/>
              </w:rPr>
              <w:t>0.731</w:t>
            </w:r>
          </w:p>
        </w:tc>
        <w:tc>
          <w:tcPr>
            <w:tcW w:type="dxa" w:w="1608"/>
          </w:tcPr>
          <w:p>
            <w:r>
              <w:rPr>
                <w:sz w:val="18"/>
              </w:rPr>
              <w:t>0.694</w:t>
            </w:r>
          </w:p>
        </w:tc>
        <w:tc>
          <w:tcPr>
            <w:tcW w:type="dxa" w:w="1608"/>
          </w:tcPr>
          <w:p>
            <w:r>
              <w:rPr>
                <w:sz w:val="18"/>
              </w:rPr>
              <w:t>0.694</w:t>
            </w:r>
          </w:p>
        </w:tc>
        <w:tc>
          <w:tcPr>
            <w:tcW w:type="dxa" w:w="1608"/>
          </w:tcPr>
          <w:p>
            <w:r>
              <w:rPr>
                <w:sz w:val="18"/>
              </w:rPr>
              <w:t>-20.067</w:t>
            </w:r>
          </w:p>
        </w:tc>
      </w:tr>
    </w:tbl>
    <w:p/>
    <w:p>
      <w:r>
        <w:rPr>
          <w:b w:val="0"/>
          <w:sz w:val="21"/>
        </w:rPr>
        <w:t>Making the friction stress composition-dependent produces the largest single gain for yield strength: M3 reaches LOO 0.652 and LOBO 0.625 against 0.406 / 0.373 for the grain-only baseline.</w:t>
      </w:r>
    </w:p>
    <w:p>
      <w:r>
        <w:rPr>
          <w:b w:val="0"/>
          <w:sz w:val="21"/>
        </w:rPr>
        <w:t>Grain-distribution width helps only in a specific form. Adding SD_grain as an independent additive term (M13) raises LOO to 0.668 but lowers LOBO to 0.595. Allowing it to modify the Hall-Petch term (M15) gives 0.731 / 0.694 / 0.694 with delta-BIC -20.1 relative to M3. The additive control shows the gain cannot be credited to measuring grain width alone; because SD_grain is correlated with mean grain size and with processing, the term is read as a predictive interaction rather than as proof that distribution width changes the Hall-Petch slope.</w:t>
      </w:r>
    </w:p>
    <w:p>
      <w:r>
        <w:rPr>
          <w:i/>
          <w:sz w:val="19"/>
        </w:rPr>
        <w:t>Table 3. M3 coefficients relative to Ni, with 95% intervals.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8"/>
              </w:rPr>
              <w:t>coefficient</w:t>
            </w:r>
          </w:p>
        </w:tc>
        <w:tc>
          <w:tcPr>
            <w:tcW w:type="dxa" w:w="2412"/>
          </w:tcPr>
          <w:p>
            <w:r>
              <w:rPr>
                <w:b/>
                <w:sz w:val="18"/>
              </w:rPr>
              <w:t>value</w:t>
            </w:r>
          </w:p>
        </w:tc>
        <w:tc>
          <w:tcPr>
            <w:tcW w:type="dxa" w:w="2412"/>
          </w:tcPr>
          <w:p>
            <w:r>
              <w:rPr>
                <w:b/>
                <w:sz w:val="18"/>
              </w:rPr>
              <w:t>lo95</w:t>
            </w:r>
          </w:p>
        </w:tc>
        <w:tc>
          <w:tcPr>
            <w:tcW w:type="dxa" w:w="2412"/>
          </w:tcPr>
          <w:p>
            <w:r>
              <w:rPr>
                <w:b/>
                <w:sz w:val="18"/>
              </w:rPr>
              <w:t>hi95</w:t>
            </w:r>
          </w:p>
        </w:tc>
      </w:tr>
      <w:tr>
        <w:tc>
          <w:tcPr>
            <w:tcW w:type="dxa" w:w="2412"/>
          </w:tcPr>
          <w:p>
            <w:r>
              <w:rPr>
                <w:sz w:val="18"/>
              </w:rPr>
              <w:t>intercept (sigma_00)</w:t>
            </w:r>
          </w:p>
        </w:tc>
        <w:tc>
          <w:tcPr>
            <w:tcW w:type="dxa" w:w="2412"/>
          </w:tcPr>
          <w:p>
            <w:r>
              <w:rPr>
                <w:sz w:val="18"/>
              </w:rPr>
              <w:t>229.600</w:t>
            </w:r>
          </w:p>
        </w:tc>
        <w:tc>
          <w:tcPr>
            <w:tcW w:type="dxa" w:w="2412"/>
          </w:tcPr>
          <w:p>
            <w:r>
              <w:rPr>
                <w:sz w:val="18"/>
              </w:rPr>
              <w:t>152.400</w:t>
            </w:r>
          </w:p>
        </w:tc>
        <w:tc>
          <w:tcPr>
            <w:tcW w:type="dxa" w:w="2412"/>
          </w:tcPr>
          <w:p>
            <w:r>
              <w:rPr>
                <w:sz w:val="18"/>
              </w:rPr>
              <w:t>306.700</w:t>
            </w:r>
          </w:p>
        </w:tc>
      </w:tr>
      <w:tr>
        <w:tc>
          <w:tcPr>
            <w:tcW w:type="dxa" w:w="2412"/>
          </w:tcPr>
          <w:p>
            <w:r>
              <w:rPr>
                <w:sz w:val="18"/>
              </w:rPr>
              <w:t>alpha_Al</w:t>
            </w:r>
          </w:p>
        </w:tc>
        <w:tc>
          <w:tcPr>
            <w:tcW w:type="dxa" w:w="2412"/>
          </w:tcPr>
          <w:p>
            <w:r>
              <w:rPr>
                <w:sz w:val="18"/>
              </w:rPr>
              <w:t>-201.300</w:t>
            </w:r>
          </w:p>
        </w:tc>
        <w:tc>
          <w:tcPr>
            <w:tcW w:type="dxa" w:w="2412"/>
          </w:tcPr>
          <w:p>
            <w:r>
              <w:rPr>
                <w:sz w:val="18"/>
              </w:rPr>
              <w:t>-955.400</w:t>
            </w:r>
          </w:p>
        </w:tc>
        <w:tc>
          <w:tcPr>
            <w:tcW w:type="dxa" w:w="2412"/>
          </w:tcPr>
          <w:p>
            <w:r>
              <w:rPr>
                <w:sz w:val="18"/>
              </w:rPr>
              <w:t>552.800</w:t>
            </w:r>
          </w:p>
        </w:tc>
      </w:tr>
      <w:tr>
        <w:tc>
          <w:tcPr>
            <w:tcW w:type="dxa" w:w="2412"/>
          </w:tcPr>
          <w:p>
            <w:r>
              <w:rPr>
                <w:sz w:val="18"/>
              </w:rPr>
              <w:t>alpha_Co</w:t>
            </w:r>
          </w:p>
        </w:tc>
        <w:tc>
          <w:tcPr>
            <w:tcW w:type="dxa" w:w="2412"/>
          </w:tcPr>
          <w:p>
            <w:r>
              <w:rPr>
                <w:sz w:val="18"/>
              </w:rPr>
              <w:t>-187.200</w:t>
            </w:r>
          </w:p>
        </w:tc>
        <w:tc>
          <w:tcPr>
            <w:tcW w:type="dxa" w:w="2412"/>
          </w:tcPr>
          <w:p>
            <w:r>
              <w:rPr>
                <w:sz w:val="18"/>
              </w:rPr>
              <w:t>-268.100</w:t>
            </w:r>
          </w:p>
        </w:tc>
        <w:tc>
          <w:tcPr>
            <w:tcW w:type="dxa" w:w="2412"/>
          </w:tcPr>
          <w:p>
            <w:r>
              <w:rPr>
                <w:sz w:val="18"/>
              </w:rPr>
              <w:t>-106.300</w:t>
            </w:r>
          </w:p>
        </w:tc>
      </w:tr>
      <w:tr>
        <w:tc>
          <w:tcPr>
            <w:tcW w:type="dxa" w:w="2412"/>
          </w:tcPr>
          <w:p>
            <w:r>
              <w:rPr>
                <w:sz w:val="18"/>
              </w:rPr>
              <w:t>alpha_Cr</w:t>
            </w:r>
          </w:p>
        </w:tc>
        <w:tc>
          <w:tcPr>
            <w:tcW w:type="dxa" w:w="2412"/>
          </w:tcPr>
          <w:p>
            <w:r>
              <w:rPr>
                <w:sz w:val="18"/>
              </w:rPr>
              <w:t>-307.700</w:t>
            </w:r>
          </w:p>
        </w:tc>
        <w:tc>
          <w:tcPr>
            <w:tcW w:type="dxa" w:w="2412"/>
          </w:tcPr>
          <w:p>
            <w:r>
              <w:rPr>
                <w:sz w:val="18"/>
              </w:rPr>
              <w:t>-588.500</w:t>
            </w:r>
          </w:p>
        </w:tc>
        <w:tc>
          <w:tcPr>
            <w:tcW w:type="dxa" w:w="2412"/>
          </w:tcPr>
          <w:p>
            <w:r>
              <w:rPr>
                <w:sz w:val="18"/>
              </w:rPr>
              <w:t>-26.900</w:t>
            </w:r>
          </w:p>
        </w:tc>
      </w:tr>
      <w:tr>
        <w:tc>
          <w:tcPr>
            <w:tcW w:type="dxa" w:w="2412"/>
          </w:tcPr>
          <w:p>
            <w:r>
              <w:rPr>
                <w:sz w:val="18"/>
              </w:rPr>
              <w:t>alpha_Cu</w:t>
            </w:r>
          </w:p>
        </w:tc>
        <w:tc>
          <w:tcPr>
            <w:tcW w:type="dxa" w:w="2412"/>
          </w:tcPr>
          <w:p>
            <w:r>
              <w:rPr>
                <w:sz w:val="18"/>
              </w:rPr>
              <w:t>-334.000</w:t>
            </w:r>
          </w:p>
        </w:tc>
        <w:tc>
          <w:tcPr>
            <w:tcW w:type="dxa" w:w="2412"/>
          </w:tcPr>
          <w:p>
            <w:r>
              <w:rPr>
                <w:sz w:val="18"/>
              </w:rPr>
              <w:t>-651.900</w:t>
            </w:r>
          </w:p>
        </w:tc>
        <w:tc>
          <w:tcPr>
            <w:tcW w:type="dxa" w:w="2412"/>
          </w:tcPr>
          <w:p>
            <w:r>
              <w:rPr>
                <w:sz w:val="18"/>
              </w:rPr>
              <w:t>-16.200</w:t>
            </w:r>
          </w:p>
        </w:tc>
      </w:tr>
      <w:tr>
        <w:tc>
          <w:tcPr>
            <w:tcW w:type="dxa" w:w="2412"/>
          </w:tcPr>
          <w:p>
            <w:r>
              <w:rPr>
                <w:sz w:val="18"/>
              </w:rPr>
              <w:t>alpha_Fe</w:t>
            </w:r>
          </w:p>
        </w:tc>
        <w:tc>
          <w:tcPr>
            <w:tcW w:type="dxa" w:w="2412"/>
          </w:tcPr>
          <w:p>
            <w:r>
              <w:rPr>
                <w:sz w:val="18"/>
              </w:rPr>
              <w:t>-360.400</w:t>
            </w:r>
          </w:p>
        </w:tc>
        <w:tc>
          <w:tcPr>
            <w:tcW w:type="dxa" w:w="2412"/>
          </w:tcPr>
          <w:p>
            <w:r>
              <w:rPr>
                <w:sz w:val="18"/>
              </w:rPr>
              <w:t>-520.100</w:t>
            </w:r>
          </w:p>
        </w:tc>
        <w:tc>
          <w:tcPr>
            <w:tcW w:type="dxa" w:w="2412"/>
          </w:tcPr>
          <w:p>
            <w:r>
              <w:rPr>
                <w:sz w:val="18"/>
              </w:rPr>
              <w:t>-200.600</w:t>
            </w:r>
          </w:p>
        </w:tc>
      </w:tr>
      <w:tr>
        <w:tc>
          <w:tcPr>
            <w:tcW w:type="dxa" w:w="2412"/>
          </w:tcPr>
          <w:p>
            <w:r>
              <w:rPr>
                <w:sz w:val="18"/>
              </w:rPr>
              <w:t>alpha_Mn</w:t>
            </w:r>
          </w:p>
        </w:tc>
        <w:tc>
          <w:tcPr>
            <w:tcW w:type="dxa" w:w="2412"/>
          </w:tcPr>
          <w:p>
            <w:r>
              <w:rPr>
                <w:sz w:val="18"/>
              </w:rPr>
              <w:t>82.300</w:t>
            </w:r>
          </w:p>
        </w:tc>
        <w:tc>
          <w:tcPr>
            <w:tcW w:type="dxa" w:w="2412"/>
          </w:tcPr>
          <w:p>
            <w:r>
              <w:rPr>
                <w:sz w:val="18"/>
              </w:rPr>
              <w:t>-117.600</w:t>
            </w:r>
          </w:p>
        </w:tc>
        <w:tc>
          <w:tcPr>
            <w:tcW w:type="dxa" w:w="2412"/>
          </w:tcPr>
          <w:p>
            <w:r>
              <w:rPr>
                <w:sz w:val="18"/>
              </w:rPr>
              <w:t>282.200</w:t>
            </w:r>
          </w:p>
        </w:tc>
      </w:tr>
      <w:tr>
        <w:tc>
          <w:tcPr>
            <w:tcW w:type="dxa" w:w="2412"/>
          </w:tcPr>
          <w:p>
            <w:r>
              <w:rPr>
                <w:sz w:val="18"/>
              </w:rPr>
              <w:t>alpha_V</w:t>
            </w:r>
          </w:p>
        </w:tc>
        <w:tc>
          <w:tcPr>
            <w:tcW w:type="dxa" w:w="2412"/>
          </w:tcPr>
          <w:p>
            <w:r>
              <w:rPr>
                <w:sz w:val="18"/>
              </w:rPr>
              <w:t>291.300</w:t>
            </w:r>
          </w:p>
        </w:tc>
        <w:tc>
          <w:tcPr>
            <w:tcW w:type="dxa" w:w="2412"/>
          </w:tcPr>
          <w:p>
            <w:r>
              <w:rPr>
                <w:sz w:val="18"/>
              </w:rPr>
              <w:t>41.000</w:t>
            </w:r>
          </w:p>
        </w:tc>
        <w:tc>
          <w:tcPr>
            <w:tcW w:type="dxa" w:w="2412"/>
          </w:tcPr>
          <w:p>
            <w:r>
              <w:rPr>
                <w:sz w:val="18"/>
              </w:rPr>
              <w:t>541.500</w:t>
            </w:r>
          </w:p>
        </w:tc>
      </w:tr>
      <w:tr>
        <w:tc>
          <w:tcPr>
            <w:tcW w:type="dxa" w:w="2412"/>
          </w:tcPr>
          <w:p>
            <w:r>
              <w:rPr>
                <w:sz w:val="18"/>
              </w:rPr>
              <w:t>k_HP</w:t>
            </w:r>
          </w:p>
        </w:tc>
        <w:tc>
          <w:tcPr>
            <w:tcW w:type="dxa" w:w="2412"/>
          </w:tcPr>
          <w:p>
            <w:r>
              <w:rPr>
                <w:sz w:val="18"/>
              </w:rPr>
              <w:t>765.800</w:t>
            </w:r>
          </w:p>
        </w:tc>
        <w:tc>
          <w:tcPr>
            <w:tcW w:type="dxa" w:w="2412"/>
          </w:tcPr>
          <w:p>
            <w:r>
              <w:rPr>
                <w:sz w:val="18"/>
              </w:rPr>
              <w:t>501.500</w:t>
            </w:r>
          </w:p>
        </w:tc>
        <w:tc>
          <w:tcPr>
            <w:tcW w:type="dxa" w:w="2412"/>
          </w:tcPr>
          <w:p>
            <w:r>
              <w:rPr>
                <w:sz w:val="18"/>
              </w:rPr>
              <w:t>1030.000</w:t>
            </w:r>
          </w:p>
        </w:tc>
      </w:tr>
    </w:tbl>
    <w:p/>
    <w:p>
      <w:pPr>
        <w:jc w:val="center"/>
      </w:pPr>
      <w:r>
        <w:drawing>
          <wp:inline xmlns:a="http://schemas.openxmlformats.org/drawingml/2006/main" xmlns:pic="http://schemas.openxmlformats.org/drawingml/2006/picture">
            <wp:extent cx="5760720" cy="2672175"/>
            <wp:docPr id="5" name="Picture 5"/>
            <wp:cNvGraphicFramePr>
              <a:graphicFrameLocks noChangeAspect="1"/>
            </wp:cNvGraphicFramePr>
            <a:graphic>
              <a:graphicData uri="http://schemas.openxmlformats.org/drawingml/2006/picture">
                <pic:pic>
                  <pic:nvPicPr>
                    <pic:cNvPr id="0" name="fig_comp_hp_models_ab.png"/>
                    <pic:cNvPicPr/>
                  </pic:nvPicPr>
                  <pic:blipFill>
                    <a:blip r:embed="rId13"/>
                    <a:stretch>
                      <a:fillRect/>
                    </a:stretch>
                  </pic:blipFill>
                  <pic:spPr>
                    <a:xfrm>
                      <a:off x="0" y="0"/>
                      <a:ext cx="5760720" cy="2672175"/>
                    </a:xfrm>
                    <a:prstGeom prst="rect"/>
                  </pic:spPr>
                </pic:pic>
              </a:graphicData>
            </a:graphic>
          </wp:inline>
        </w:drawing>
      </w:r>
    </w:p>
    <w:p>
      <w:pPr>
        <w:jc w:val="center"/>
      </w:pPr>
      <w:r>
        <w:rPr>
          <w:i/>
          <w:sz w:val="18"/>
        </w:rPr>
        <w:t>Family 3 hierarchy: predictive ranking and parsimony.</w:t>
      </w:r>
    </w:p>
    <w:p>
      <w:r>
        <w:br w:type="page"/>
      </w:r>
    </w:p>
    <w:p>
      <w:pPr>
        <w:pStyle w:val="Heading1"/>
      </w:pPr>
      <w:r>
        <w:t>6. Family 4: non-linear machine learning at matched inputs</w:t>
      </w:r>
    </w:p>
    <w:p>
      <w:r>
        <w:rPr>
          <w:b w:val="0"/>
          <w:sz w:val="21"/>
        </w:rPr>
        <w:t>Linear controls and non-linear estimators were run on identical S1-S4 input matrices and identical splits, at declared fixed settings with no data-driven hyperparameter search, so that any difference reflects the model class rather than the tuning budget.</w:t>
      </w:r>
    </w:p>
    <w:p>
      <w:r>
        <w:rPr>
          <w:i/>
          <w:sz w:val="19"/>
        </w:rPr>
        <w:t>Table 4. Matched-input comparison.</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8"/>
              </w:rPr>
              <w:t>model</w:t>
            </w:r>
          </w:p>
        </w:tc>
        <w:tc>
          <w:tcPr>
            <w:tcW w:type="dxa" w:w="2412"/>
          </w:tcPr>
          <w:p>
            <w:r>
              <w:rPr>
                <w:b/>
                <w:sz w:val="18"/>
              </w:rPr>
              <w:t>5-fold</w:t>
            </w:r>
          </w:p>
        </w:tc>
        <w:tc>
          <w:tcPr>
            <w:tcW w:type="dxa" w:w="2412"/>
          </w:tcPr>
          <w:p>
            <w:r>
              <w:rPr>
                <w:b/>
                <w:sz w:val="18"/>
              </w:rPr>
              <w:t>LOO</w:t>
            </w:r>
          </w:p>
        </w:tc>
        <w:tc>
          <w:tcPr>
            <w:tcW w:type="dxa" w:w="2412"/>
          </w:tcPr>
          <w:p>
            <w:r>
              <w:rPr>
                <w:b/>
                <w:sz w:val="18"/>
              </w:rPr>
              <w:t>LOBO</w:t>
            </w:r>
          </w:p>
        </w:tc>
      </w:tr>
      <w:tr>
        <w:tc>
          <w:tcPr>
            <w:tcW w:type="dxa" w:w="2412"/>
          </w:tcPr>
          <w:p>
            <w:r>
              <w:rPr>
                <w:sz w:val="18"/>
              </w:rPr>
              <w:t>F4 Lasso S2</w:t>
            </w:r>
          </w:p>
        </w:tc>
        <w:tc>
          <w:tcPr>
            <w:tcW w:type="dxa" w:w="2412"/>
          </w:tcPr>
          <w:p>
            <w:r>
              <w:rPr>
                <w:sz w:val="18"/>
              </w:rPr>
              <w:t>0.683</w:t>
            </w:r>
          </w:p>
        </w:tc>
        <w:tc>
          <w:tcPr>
            <w:tcW w:type="dxa" w:w="2412"/>
          </w:tcPr>
          <w:p>
            <w:r>
              <w:rPr>
                <w:sz w:val="18"/>
              </w:rPr>
              <w:t>0.674</w:t>
            </w:r>
          </w:p>
        </w:tc>
        <w:tc>
          <w:tcPr>
            <w:tcW w:type="dxa" w:w="2412"/>
          </w:tcPr>
          <w:p>
            <w:r>
              <w:rPr>
                <w:sz w:val="18"/>
              </w:rPr>
              <w:t>0.621</w:t>
            </w:r>
          </w:p>
        </w:tc>
      </w:tr>
      <w:tr>
        <w:tc>
          <w:tcPr>
            <w:tcW w:type="dxa" w:w="2412"/>
          </w:tcPr>
          <w:p>
            <w:r>
              <w:rPr>
                <w:sz w:val="18"/>
              </w:rPr>
              <w:t>F4 LightGBM S1</w:t>
            </w:r>
          </w:p>
        </w:tc>
        <w:tc>
          <w:tcPr>
            <w:tcW w:type="dxa" w:w="2412"/>
          </w:tcPr>
          <w:p>
            <w:r>
              <w:rPr>
                <w:sz w:val="18"/>
              </w:rPr>
              <w:t>0.195</w:t>
            </w:r>
          </w:p>
        </w:tc>
        <w:tc>
          <w:tcPr>
            <w:tcW w:type="dxa" w:w="2412"/>
          </w:tcPr>
          <w:p>
            <w:r>
              <w:rPr>
                <w:sz w:val="18"/>
              </w:rPr>
              <w:t>0.323</w:t>
            </w:r>
          </w:p>
        </w:tc>
        <w:tc>
          <w:tcPr>
            <w:tcW w:type="dxa" w:w="2412"/>
          </w:tcPr>
          <w:p>
            <w:r>
              <w:rPr>
                <w:sz w:val="18"/>
              </w:rPr>
              <w:t>0.112</w:t>
            </w:r>
          </w:p>
        </w:tc>
      </w:tr>
      <w:tr>
        <w:tc>
          <w:tcPr>
            <w:tcW w:type="dxa" w:w="2412"/>
          </w:tcPr>
          <w:p>
            <w:r>
              <w:rPr>
                <w:sz w:val="18"/>
              </w:rPr>
              <w:t>F4 LightGBM S2</w:t>
            </w:r>
          </w:p>
        </w:tc>
        <w:tc>
          <w:tcPr>
            <w:tcW w:type="dxa" w:w="2412"/>
          </w:tcPr>
          <w:p>
            <w:r>
              <w:rPr>
                <w:sz w:val="18"/>
              </w:rPr>
              <w:t>0.632</w:t>
            </w:r>
          </w:p>
        </w:tc>
        <w:tc>
          <w:tcPr>
            <w:tcW w:type="dxa" w:w="2412"/>
          </w:tcPr>
          <w:p>
            <w:r>
              <w:rPr>
                <w:sz w:val="18"/>
              </w:rPr>
              <w:t>0.574</w:t>
            </w:r>
          </w:p>
        </w:tc>
        <w:tc>
          <w:tcPr>
            <w:tcW w:type="dxa" w:w="2412"/>
          </w:tcPr>
          <w:p>
            <w:r>
              <w:rPr>
                <w:sz w:val="18"/>
              </w:rPr>
              <w:t>0.615</w:t>
            </w:r>
          </w:p>
        </w:tc>
      </w:tr>
    </w:tbl>
    <w:p/>
    <w:p>
      <w:r>
        <w:rPr>
          <w:b w:val="0"/>
          <w:sz w:val="21"/>
        </w:rPr>
        <w:t>At matched inputs the linear control and the gradient-boosted model give nearly identical batch-held-out scores, with overlapping batch-bootstrap intervals. There is no evidence that non-linearity improves transfer to an unseen batch on this dataset.</w:t>
      </w:r>
    </w:p>
    <w:p>
      <w:r>
        <w:rPr>
          <w:b w:val="0"/>
          <w:sz w:val="21"/>
        </w:rPr>
        <w:t>One comparison needs care: the Family 1 baseline uses d^-1/2 alone, while the S1 matrix also contains SD_grain. Part of any S1-versus-baseline gap is therefore the extra feature and not the estimator.</w:t>
      </w:r>
    </w:p>
    <w:p>
      <w:pPr>
        <w:jc w:val="center"/>
      </w:pPr>
      <w:r>
        <w:drawing>
          <wp:inline xmlns:a="http://schemas.openxmlformats.org/drawingml/2006/main" xmlns:pic="http://schemas.openxmlformats.org/drawingml/2006/picture">
            <wp:extent cx="5760720" cy="3493266"/>
            <wp:docPr id="6" name="Picture 6"/>
            <wp:cNvGraphicFramePr>
              <a:graphicFrameLocks noChangeAspect="1"/>
            </wp:cNvGraphicFramePr>
            <a:graphic>
              <a:graphicData uri="http://schemas.openxmlformats.org/drawingml/2006/picture">
                <pic:pic>
                  <pic:nvPicPr>
                    <pic:cNvPr id="0" name="fair_comparison_LOBO_heatmap.png"/>
                    <pic:cNvPicPr/>
                  </pic:nvPicPr>
                  <pic:blipFill>
                    <a:blip r:embed="rId14"/>
                    <a:stretch>
                      <a:fillRect/>
                    </a:stretch>
                  </pic:blipFill>
                  <pic:spPr>
                    <a:xfrm>
                      <a:off x="0" y="0"/>
                      <a:ext cx="5760720" cy="3493266"/>
                    </a:xfrm>
                    <a:prstGeom prst="rect"/>
                  </pic:spPr>
                </pic:pic>
              </a:graphicData>
            </a:graphic>
          </wp:inline>
        </w:drawing>
      </w:r>
    </w:p>
    <w:p>
      <w:pPr>
        <w:jc w:val="center"/>
      </w:pPr>
      <w:r>
        <w:rPr>
          <w:i/>
          <w:sz w:val="18"/>
        </w:rPr>
        <w:t>Batch-held-out R-squared across the feature ladder for YS and HV.</w:t>
      </w:r>
    </w:p>
    <w:p>
      <w:r>
        <w:br w:type="page"/>
      </w:r>
    </w:p>
    <w:p>
      <w:pPr>
        <w:pStyle w:val="Heading1"/>
      </w:pPr>
      <w:r>
        <w:t>7. Family 5: symbolic regression</w:t>
      </w:r>
    </w:p>
    <w:p>
      <w:r>
        <w:rPr>
          <w:b w:val="0"/>
          <w:sz w:val="21"/>
        </w:rPr>
        <w:t>PySR and SISSO searched for compact closed forms. In the stored workflow the equation structures were selected after viewing complete-data search fronts and only their constants were refit inside the folds, so these are post-selection fixed-form scores and not unbiased estimates of symbolic discovery. They are reported as such and are not ranked against the pre-specified linear models.</w:t>
      </w:r>
    </w:p>
    <w:p>
      <w:r>
        <w:rPr>
          <w:b w:val="0"/>
          <w:sz w:val="21"/>
        </w:rPr>
        <w:t>The refit hardness form is HV = 222.3 + 84.5(6.93 - d)/SD_grain + -1.005 dH_mix / t_hold^2, with full-data R-squared 0.744 and RMSE 16.90 HV.</w:t>
      </w:r>
    </w:p>
    <w:p>
      <w:r>
        <w:rPr>
          <w:b w:val="0"/>
          <w:sz w:val="21"/>
        </w:rPr>
        <w:t>With the structure fixed and constants refit per fold: 5-fold 0.725, LOO 0.727, LOBO 0.636.</w:t>
      </w:r>
    </w:p>
    <w:p>
      <w:r>
        <w:rPr>
          <w:b w:val="0"/>
          <w:sz w:val="21"/>
        </w:rPr>
        <w:t>Two safety findings belong with these equations. SISSO Full places a shear-modulus difference in a denominator and becomes unstable when the constituent moduli are similar; removing that term lowers the aggregate literature RMSE substantially. Separately, one descriptor-based PySR equation contains a protected square root whose argument approaches zero just below the observed range, so it stays real but diverges outside the sampled envelope.</w:t>
      </w:r>
    </w:p>
    <w:p>
      <w:pPr>
        <w:jc w:val="center"/>
      </w:pPr>
      <w:r>
        <w:drawing>
          <wp:inline xmlns:a="http://schemas.openxmlformats.org/drawingml/2006/main" xmlns:pic="http://schemas.openxmlformats.org/drawingml/2006/picture">
            <wp:extent cx="5760720" cy="4951630"/>
            <wp:docPr id="7" name="Picture 7"/>
            <wp:cNvGraphicFramePr>
              <a:graphicFrameLocks noChangeAspect="1"/>
            </wp:cNvGraphicFramePr>
            <a:graphic>
              <a:graphicData uri="http://schemas.openxmlformats.org/drawingml/2006/picture">
                <pic:pic>
                  <pic:nvPicPr>
                    <pic:cNvPr id="0" name="fig08_pysr_pareto.png"/>
                    <pic:cNvPicPr/>
                  </pic:nvPicPr>
                  <pic:blipFill>
                    <a:blip r:embed="rId15"/>
                    <a:stretch>
                      <a:fillRect/>
                    </a:stretch>
                  </pic:blipFill>
                  <pic:spPr>
                    <a:xfrm>
                      <a:off x="0" y="0"/>
                      <a:ext cx="5760720" cy="4951630"/>
                    </a:xfrm>
                    <a:prstGeom prst="rect"/>
                  </pic:spPr>
                </pic:pic>
              </a:graphicData>
            </a:graphic>
          </wp:inline>
        </w:drawing>
      </w:r>
    </w:p>
    <w:p>
      <w:pPr>
        <w:jc w:val="center"/>
      </w:pPr>
      <w:r>
        <w:rPr>
          <w:i/>
          <w:sz w:val="18"/>
        </w:rPr>
        <w:t>PySR complexity-loss front for yield strength.</w:t>
      </w:r>
    </w:p>
    <w:p>
      <w:r>
        <w:br w:type="page"/>
      </w:r>
    </w:p>
    <w:p>
      <w:pPr>
        <w:pStyle w:val="Heading1"/>
      </w:pPr>
      <w:r>
        <w:t>8. Literature stress test and hardness-yield correspondence</w:t>
      </w:r>
    </w:p>
    <w:p>
      <w:r>
        <w:rPr>
          <w:i/>
          <w:sz w:val="19"/>
        </w:rPr>
        <w:t>Table 5. Direct-measurement literature records (evidence class E1).</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8"/>
              </w:rPr>
              <w:t>label</w:t>
            </w:r>
          </w:p>
        </w:tc>
        <w:tc>
          <w:tcPr>
            <w:tcW w:type="dxa" w:w="1930"/>
          </w:tcPr>
          <w:p>
            <w:r>
              <w:rPr>
                <w:b/>
                <w:sz w:val="18"/>
              </w:rPr>
              <w:t>R2</w:t>
            </w:r>
          </w:p>
        </w:tc>
        <w:tc>
          <w:tcPr>
            <w:tcW w:type="dxa" w:w="1930"/>
          </w:tcPr>
          <w:p>
            <w:r>
              <w:rPr>
                <w:b/>
                <w:sz w:val="18"/>
              </w:rPr>
              <w:t>RMSE</w:t>
            </w:r>
          </w:p>
        </w:tc>
        <w:tc>
          <w:tcPr>
            <w:tcW w:type="dxa" w:w="1930"/>
          </w:tcPr>
          <w:p>
            <w:r>
              <w:rPr>
                <w:b/>
                <w:sz w:val="18"/>
              </w:rPr>
              <w:t>bias</w:t>
            </w:r>
          </w:p>
        </w:tc>
        <w:tc>
          <w:tcPr>
            <w:tcW w:type="dxa" w:w="1930"/>
          </w:tcPr>
          <w:p>
            <w:r>
              <w:rPr>
                <w:b/>
                <w:sz w:val="18"/>
              </w:rPr>
              <w:t>n</w:t>
            </w:r>
          </w:p>
        </w:tc>
      </w:tr>
      <w:tr>
        <w:tc>
          <w:tcPr>
            <w:tcW w:type="dxa" w:w="1930"/>
          </w:tcPr>
          <w:p>
            <w:r>
              <w:rPr>
                <w:sz w:val="18"/>
              </w:rPr>
              <w:t>Tier 1 (measured YS) / SISSO</w:t>
            </w:r>
          </w:p>
        </w:tc>
        <w:tc>
          <w:tcPr>
            <w:tcW w:type="dxa" w:w="1930"/>
          </w:tcPr>
          <w:p>
            <w:r>
              <w:rPr>
                <w:sz w:val="18"/>
              </w:rPr>
              <w:t>-5.080</w:t>
            </w:r>
          </w:p>
        </w:tc>
        <w:tc>
          <w:tcPr>
            <w:tcW w:type="dxa" w:w="1930"/>
          </w:tcPr>
          <w:p>
            <w:r>
              <w:rPr>
                <w:sz w:val="18"/>
              </w:rPr>
              <w:t>300.310</w:t>
            </w:r>
          </w:p>
        </w:tc>
        <w:tc>
          <w:tcPr>
            <w:tcW w:type="dxa" w:w="1930"/>
          </w:tcPr>
          <w:p>
            <w:r>
              <w:rPr>
                <w:sz w:val="18"/>
              </w:rPr>
              <w:t>49.960</w:t>
            </w:r>
          </w:p>
        </w:tc>
        <w:tc>
          <w:tcPr>
            <w:tcW w:type="dxa" w:w="1930"/>
          </w:tcPr>
          <w:p>
            <w:r>
              <w:rPr>
                <w:sz w:val="18"/>
              </w:rPr>
              <w:t>54.000</w:t>
            </w:r>
          </w:p>
        </w:tc>
      </w:tr>
      <w:tr>
        <w:tc>
          <w:tcPr>
            <w:tcW w:type="dxa" w:w="1930"/>
          </w:tcPr>
          <w:p>
            <w:r>
              <w:rPr>
                <w:sz w:val="18"/>
              </w:rPr>
              <w:t>Tier 1 (measured YS) / SISSO Robust</w:t>
            </w:r>
          </w:p>
        </w:tc>
        <w:tc>
          <w:tcPr>
            <w:tcW w:type="dxa" w:w="1930"/>
          </w:tcPr>
          <w:p>
            <w:r>
              <w:rPr>
                <w:sz w:val="18"/>
              </w:rPr>
              <w:t>-0.730</w:t>
            </w:r>
          </w:p>
        </w:tc>
        <w:tc>
          <w:tcPr>
            <w:tcW w:type="dxa" w:w="1930"/>
          </w:tcPr>
          <w:p>
            <w:r>
              <w:rPr>
                <w:sz w:val="18"/>
              </w:rPr>
              <w:t>159.970</w:t>
            </w:r>
          </w:p>
        </w:tc>
        <w:tc>
          <w:tcPr>
            <w:tcW w:type="dxa" w:w="1930"/>
          </w:tcPr>
          <w:p>
            <w:r>
              <w:rPr>
                <w:sz w:val="18"/>
              </w:rPr>
              <w:t>-61.270</w:t>
            </w:r>
          </w:p>
        </w:tc>
        <w:tc>
          <w:tcPr>
            <w:tcW w:type="dxa" w:w="1930"/>
          </w:tcPr>
          <w:p>
            <w:r>
              <w:rPr>
                <w:sz w:val="18"/>
              </w:rPr>
              <w:t>54.000</w:t>
            </w:r>
          </w:p>
        </w:tc>
      </w:tr>
      <w:tr>
        <w:tc>
          <w:tcPr>
            <w:tcW w:type="dxa" w:w="1930"/>
          </w:tcPr>
          <w:p>
            <w:r>
              <w:rPr>
                <w:sz w:val="18"/>
              </w:rPr>
              <w:t>Tier 1 (measured YS) / M3</w:t>
            </w:r>
          </w:p>
        </w:tc>
        <w:tc>
          <w:tcPr>
            <w:tcW w:type="dxa" w:w="1930"/>
          </w:tcPr>
          <w:p>
            <w:r>
              <w:rPr>
                <w:sz w:val="18"/>
              </w:rPr>
              <w:t>-0.510</w:t>
            </w:r>
          </w:p>
        </w:tc>
        <w:tc>
          <w:tcPr>
            <w:tcW w:type="dxa" w:w="1930"/>
          </w:tcPr>
          <w:p>
            <w:r>
              <w:rPr>
                <w:sz w:val="18"/>
              </w:rPr>
              <w:t>149.510</w:t>
            </w:r>
          </w:p>
        </w:tc>
        <w:tc>
          <w:tcPr>
            <w:tcW w:type="dxa" w:w="1930"/>
          </w:tcPr>
          <w:p>
            <w:r>
              <w:rPr>
                <w:sz w:val="18"/>
              </w:rPr>
              <w:t>-76.580</w:t>
            </w:r>
          </w:p>
        </w:tc>
        <w:tc>
          <w:tcPr>
            <w:tcW w:type="dxa" w:w="1930"/>
          </w:tcPr>
          <w:p>
            <w:r>
              <w:rPr>
                <w:sz w:val="18"/>
              </w:rPr>
              <w:t>54.000</w:t>
            </w:r>
          </w:p>
        </w:tc>
      </w:tr>
    </w:tbl>
    <w:p/>
    <w:p>
      <w:r>
        <w:rPr>
          <w:b w:val="0"/>
          <w:sz w:val="21"/>
        </w:rPr>
        <w:t>Every evaluated model is worse than predicting the mean of the literature set. The compilation mixes sources and test modes and was filtered using outcomes, so it is reported as a stress test that exposes domain sensitivity and unsafe equations, not as an unbiased external benchmark.</w:t>
      </w:r>
    </w:p>
    <w:p>
      <w:r>
        <w:rPr>
          <w:b w:val="0"/>
          <w:sz w:val="21"/>
        </w:rPr>
        <w:t>Across the 93 paired records the effective Tabor ratio is 5.13 +/- 1.36, well above the classical value of 3. Hardness and strength rank together within a batch but the association weakens once batches are pooled, so a single conversion cannot be transferred across composition and processing domains.</w:t>
      </w:r>
    </w:p>
    <w:p>
      <w:pPr>
        <w:jc w:val="center"/>
      </w:pPr>
      <w:r>
        <w:drawing>
          <wp:inline xmlns:a="http://schemas.openxmlformats.org/drawingml/2006/main" xmlns:pic="http://schemas.openxmlformats.org/drawingml/2006/picture">
            <wp:extent cx="5760720" cy="5708977"/>
            <wp:docPr id="8" name="Picture 8"/>
            <wp:cNvGraphicFramePr>
              <a:graphicFrameLocks noChangeAspect="1"/>
            </wp:cNvGraphicFramePr>
            <a:graphic>
              <a:graphicData uri="http://schemas.openxmlformats.org/drawingml/2006/picture">
                <pic:pic>
                  <pic:nvPicPr>
                    <pic:cNvPr id="0" name="fig_hv_ys_rank.png"/>
                    <pic:cNvPicPr/>
                  </pic:nvPicPr>
                  <pic:blipFill>
                    <a:blip r:embed="rId16"/>
                    <a:stretch>
                      <a:fillRect/>
                    </a:stretch>
                  </pic:blipFill>
                  <pic:spPr>
                    <a:xfrm>
                      <a:off x="0" y="0"/>
                      <a:ext cx="5760720" cy="5708977"/>
                    </a:xfrm>
                    <a:prstGeom prst="rect"/>
                  </pic:spPr>
                </pic:pic>
              </a:graphicData>
            </a:graphic>
          </wp:inline>
        </w:drawing>
      </w:r>
    </w:p>
    <w:p>
      <w:pPr>
        <w:jc w:val="center"/>
      </w:pPr>
      <w:r>
        <w:rPr>
          <w:i/>
          <w:sz w:val="18"/>
        </w:rPr>
        <w:t>Hardness rank against strength rank, by batch.</w:t>
      </w:r>
    </w:p>
    <w:p>
      <w:r>
        <w:br w:type="page"/>
      </w:r>
    </w:p>
    <w:p>
      <w:pPr>
        <w:pStyle w:val="Heading1"/>
      </w:pPr>
      <w:r>
        <w:t>9. What the analysis supports</w:t>
      </w:r>
    </w:p>
    <w:p>
      <w:pPr>
        <w:pStyle w:val="ListBullet"/>
      </w:pPr>
      <w:r>
        <w:rPr>
          <w:sz w:val="21"/>
        </w:rPr>
        <w:t>A physically interpretable grain-size baseline is worth establishing first; it calibrates expectations and exposes where the remaining variance lives.</w:t>
      </w:r>
    </w:p>
    <w:p>
      <w:pPr>
        <w:pStyle w:val="ListBullet"/>
      </w:pPr>
      <w:r>
        <w:rPr>
          <w:sz w:val="21"/>
        </w:rPr>
        <w:t>Physics-derived descriptors must be shown to add information beyond the measured inputs they are computed from, not merely to be physically motivated.</w:t>
      </w:r>
    </w:p>
    <w:p>
      <w:pPr>
        <w:pStyle w:val="ListBullet"/>
      </w:pPr>
      <w:r>
        <w:rPr>
          <w:sz w:val="21"/>
        </w:rPr>
        <w:t>Measured composition and processing should be exhausted before estimator complexity is increased.</w:t>
      </w:r>
    </w:p>
    <w:p>
      <w:pPr>
        <w:pStyle w:val="ListBullet"/>
      </w:pPr>
      <w:r>
        <w:rPr>
          <w:sz w:val="21"/>
        </w:rPr>
        <w:t>Grain-distribution width helps yield strength through an interaction with the Hall-Petch term, not as an additive contribution; the additive control is what makes that distinction visible.</w:t>
      </w:r>
    </w:p>
    <w:p>
      <w:pPr>
        <w:pStyle w:val="ListBullet"/>
      </w:pPr>
      <w:r>
        <w:rPr>
          <w:sz w:val="21"/>
        </w:rPr>
        <w:t>Validation groups must match the intended decision. Record-level interpolation, batch-level transfer and external deployment are different questions with different answers.</w:t>
      </w:r>
    </w:p>
    <w:p>
      <w:pPr>
        <w:pStyle w:val="ListBullet"/>
      </w:pPr>
      <w:r>
        <w:rPr>
          <w:sz w:val="21"/>
        </w:rPr>
        <w:t>Closed forms need a domain audit, including poles hidden inside protected operators, before any deployment claim.</w:t>
      </w:r>
    </w:p>
    <w:p>
      <w:r>
        <w:rPr>
          <w:b/>
          <w:sz w:val="21"/>
        </w:rPr>
        <w:t>The coefficients reported here belong to this alloy system and these campaigns. The workflow does not.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