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E76A0" w14:textId="77777777" w:rsidR="0029157A" w:rsidRPr="0029157A" w:rsidRDefault="0029157A" w:rsidP="0029157A">
      <w:pPr>
        <w:pStyle w:val="Title"/>
        <w:jc w:val="center"/>
        <w:rPr>
          <w:lang w:val="en-US"/>
        </w:rPr>
      </w:pPr>
      <w:r w:rsidRPr="0029157A">
        <w:rPr>
          <w:lang w:val="en-US"/>
        </w:rPr>
        <w:t>Business Summary Report: Predictive Insights for Collections Strategy</w:t>
      </w:r>
    </w:p>
    <w:p w14:paraId="153DFDBE" w14:textId="5C33F7F8" w:rsidR="005E69CC" w:rsidRPr="0052772E" w:rsidRDefault="0029157A" w:rsidP="0029157A">
      <w:pPr>
        <w:pStyle w:val="Heading1"/>
        <w:numPr>
          <w:ilvl w:val="0"/>
          <w:numId w:val="1"/>
        </w:numPr>
        <w:ind w:left="426"/>
        <w:rPr>
          <w:lang w:val="en-US"/>
        </w:rPr>
      </w:pPr>
      <w:r w:rsidRPr="0052772E">
        <w:rPr>
          <w:lang w:val="en-US"/>
        </w:rPr>
        <w:t>Summary of Predictive Insights</w:t>
      </w:r>
    </w:p>
    <w:p w14:paraId="60F96F69" w14:textId="2E7843EB" w:rsidR="0029157A" w:rsidRDefault="008640C8" w:rsidP="008640C8">
      <w:pPr>
        <w:jc w:val="both"/>
        <w:rPr>
          <w:lang w:val="en-US"/>
        </w:rPr>
      </w:pPr>
      <w:r w:rsidRPr="008640C8">
        <w:rPr>
          <w:lang w:val="en-US"/>
        </w:rPr>
        <w:t>Based on the Random Forest predictive model and exploratory data analysis, we have uncovered several critical patterns that the Collections team must monitor to minimize financial exposure:</w:t>
      </w:r>
    </w:p>
    <w:p w14:paraId="60B29443" w14:textId="7664F1E7" w:rsidR="008640C8" w:rsidRDefault="008640C8" w:rsidP="008640C8">
      <w:pPr>
        <w:pStyle w:val="ListParagraph"/>
        <w:numPr>
          <w:ilvl w:val="0"/>
          <w:numId w:val="2"/>
        </w:numPr>
        <w:jc w:val="both"/>
      </w:pPr>
      <w:r w:rsidRPr="008640C8">
        <w:rPr>
          <w:b/>
          <w:bCs/>
        </w:rPr>
        <w:t>Top Predictors of Default:</w:t>
      </w:r>
      <w:r w:rsidRPr="008640C8">
        <w:t xml:space="preserve"> The Debt-to-Income (DTI) Ratio is the most significant indicator of delinquency, followed closely by Income and Credit Score. The model confirms that delinquency is highly non-linear; it is typically triggered by a combination of factors (e.g., high utilization paired with an income drop) rather than a single isolated variable.</w:t>
      </w:r>
    </w:p>
    <w:p w14:paraId="36A266BB" w14:textId="25CED499" w:rsidR="008640C8" w:rsidRDefault="008640C8" w:rsidP="008640C8">
      <w:pPr>
        <w:pStyle w:val="ListParagraph"/>
        <w:numPr>
          <w:ilvl w:val="0"/>
          <w:numId w:val="2"/>
        </w:numPr>
        <w:jc w:val="both"/>
      </w:pPr>
      <w:r w:rsidRPr="008640C8">
        <w:rPr>
          <w:b/>
          <w:bCs/>
        </w:rPr>
        <w:t>High-Risk Vulnerability:</w:t>
      </w:r>
      <w:r w:rsidRPr="008640C8">
        <w:t xml:space="preserve"> Customers exhibiting a DTI ratio greater than 0.35 are the most vulnerable to shifting into delinquency. Additionally, "ticking time bomb" accounts with credit scores below 400 pose an extreme future default risk, even if they have not yet missed a payment.</w:t>
      </w:r>
    </w:p>
    <w:p w14:paraId="316FC853" w14:textId="7230FAAA" w:rsidR="008640C8" w:rsidRPr="008640C8" w:rsidRDefault="008640C8" w:rsidP="008640C8">
      <w:pPr>
        <w:pStyle w:val="ListParagraph"/>
        <w:numPr>
          <w:ilvl w:val="0"/>
          <w:numId w:val="2"/>
        </w:numPr>
        <w:jc w:val="both"/>
        <w:rPr>
          <w:lang w:val="en-US"/>
        </w:rPr>
      </w:pPr>
      <w:r w:rsidRPr="008640C8">
        <w:rPr>
          <w:b/>
          <w:bCs/>
        </w:rPr>
        <w:t>Unexpected Anomalies:</w:t>
      </w:r>
      <w:r w:rsidRPr="008640C8">
        <w:t xml:space="preserve"> We identified a paradoxical segment of 19 "High-Score Delinquents" (Credit Score &gt; 750). This points toward either data entry errors or sudden financial shocks (like unexpected job loss) that require specialized, empathetic outreach.</w:t>
      </w:r>
    </w:p>
    <w:tbl>
      <w:tblPr>
        <w:tblW w:w="5000" w:type="pct"/>
        <w:tblCellMar>
          <w:left w:w="30" w:type="dxa"/>
          <w:right w:w="30" w:type="dxa"/>
        </w:tblCellMar>
        <w:tblLook w:val="04A0" w:firstRow="1" w:lastRow="0" w:firstColumn="1" w:lastColumn="0" w:noHBand="0" w:noVBand="1"/>
      </w:tblPr>
      <w:tblGrid>
        <w:gridCol w:w="1552"/>
        <w:gridCol w:w="2409"/>
        <w:gridCol w:w="1701"/>
        <w:gridCol w:w="3348"/>
      </w:tblGrid>
      <w:tr w:rsidR="00136EC2" w:rsidRPr="00136EC2" w14:paraId="7AC7E6C4" w14:textId="77777777" w:rsidTr="00136EC2">
        <w:trPr>
          <w:trHeight w:val="332"/>
        </w:trPr>
        <w:tc>
          <w:tcPr>
            <w:tcW w:w="861" w:type="pct"/>
            <w:tcBorders>
              <w:top w:val="single" w:sz="6" w:space="0" w:color="auto"/>
              <w:left w:val="single" w:sz="6" w:space="0" w:color="auto"/>
              <w:bottom w:val="single" w:sz="6" w:space="0" w:color="auto"/>
              <w:right w:val="single" w:sz="6" w:space="0" w:color="auto"/>
            </w:tcBorders>
            <w:hideMark/>
          </w:tcPr>
          <w:p w14:paraId="4B8A209F" w14:textId="77777777" w:rsidR="00136EC2" w:rsidRPr="00136EC2" w:rsidRDefault="00136EC2" w:rsidP="00136EC2">
            <w:pPr>
              <w:jc w:val="both"/>
              <w:rPr>
                <w:lang w:val="en-GB"/>
              </w:rPr>
            </w:pPr>
            <w:r w:rsidRPr="00136EC2">
              <w:rPr>
                <w:lang w:val="en-GB"/>
              </w:rPr>
              <w:t>Key Insight</w:t>
            </w:r>
          </w:p>
        </w:tc>
        <w:tc>
          <w:tcPr>
            <w:tcW w:w="1337" w:type="pct"/>
            <w:tcBorders>
              <w:top w:val="single" w:sz="6" w:space="0" w:color="auto"/>
              <w:left w:val="single" w:sz="6" w:space="0" w:color="auto"/>
              <w:bottom w:val="single" w:sz="6" w:space="0" w:color="auto"/>
              <w:right w:val="single" w:sz="6" w:space="0" w:color="auto"/>
            </w:tcBorders>
            <w:hideMark/>
          </w:tcPr>
          <w:p w14:paraId="0D124BA9" w14:textId="77777777" w:rsidR="00136EC2" w:rsidRPr="00136EC2" w:rsidRDefault="00136EC2" w:rsidP="00136EC2">
            <w:pPr>
              <w:jc w:val="both"/>
              <w:rPr>
                <w:lang w:val="en-GB"/>
              </w:rPr>
            </w:pPr>
            <w:r w:rsidRPr="00136EC2">
              <w:rPr>
                <w:lang w:val="en-GB"/>
              </w:rPr>
              <w:t>Customer Segment</w:t>
            </w:r>
          </w:p>
        </w:tc>
        <w:tc>
          <w:tcPr>
            <w:tcW w:w="944" w:type="pct"/>
            <w:tcBorders>
              <w:top w:val="single" w:sz="6" w:space="0" w:color="auto"/>
              <w:left w:val="single" w:sz="6" w:space="0" w:color="auto"/>
              <w:bottom w:val="single" w:sz="6" w:space="0" w:color="auto"/>
              <w:right w:val="single" w:sz="6" w:space="0" w:color="auto"/>
            </w:tcBorders>
            <w:hideMark/>
          </w:tcPr>
          <w:p w14:paraId="11ED38FC" w14:textId="77777777" w:rsidR="00136EC2" w:rsidRPr="00136EC2" w:rsidRDefault="00136EC2" w:rsidP="00136EC2">
            <w:pPr>
              <w:jc w:val="both"/>
              <w:rPr>
                <w:lang w:val="en-GB"/>
              </w:rPr>
            </w:pPr>
            <w:r w:rsidRPr="00136EC2">
              <w:rPr>
                <w:lang w:val="en-GB"/>
              </w:rPr>
              <w:t>Influencing Variables</w:t>
            </w:r>
          </w:p>
        </w:tc>
        <w:tc>
          <w:tcPr>
            <w:tcW w:w="1858" w:type="pct"/>
            <w:tcBorders>
              <w:top w:val="single" w:sz="6" w:space="0" w:color="auto"/>
              <w:left w:val="single" w:sz="6" w:space="0" w:color="auto"/>
              <w:bottom w:val="single" w:sz="6" w:space="0" w:color="auto"/>
              <w:right w:val="single" w:sz="6" w:space="0" w:color="auto"/>
            </w:tcBorders>
            <w:hideMark/>
          </w:tcPr>
          <w:p w14:paraId="54AFE3ED" w14:textId="77777777" w:rsidR="00136EC2" w:rsidRPr="00136EC2" w:rsidRDefault="00136EC2" w:rsidP="00136EC2">
            <w:pPr>
              <w:jc w:val="both"/>
              <w:rPr>
                <w:lang w:val="en-GB"/>
              </w:rPr>
            </w:pPr>
            <w:r w:rsidRPr="00136EC2">
              <w:rPr>
                <w:lang w:val="en-GB"/>
              </w:rPr>
              <w:t>Potential Impact</w:t>
            </w:r>
          </w:p>
        </w:tc>
      </w:tr>
      <w:tr w:rsidR="00136EC2" w:rsidRPr="00136EC2" w14:paraId="42EE8AED" w14:textId="77777777" w:rsidTr="00136EC2">
        <w:trPr>
          <w:trHeight w:val="782"/>
        </w:trPr>
        <w:tc>
          <w:tcPr>
            <w:tcW w:w="861" w:type="pct"/>
            <w:tcBorders>
              <w:top w:val="single" w:sz="6" w:space="0" w:color="auto"/>
              <w:left w:val="single" w:sz="6" w:space="0" w:color="auto"/>
              <w:bottom w:val="single" w:sz="6" w:space="0" w:color="auto"/>
              <w:right w:val="single" w:sz="6" w:space="0" w:color="auto"/>
            </w:tcBorders>
            <w:hideMark/>
          </w:tcPr>
          <w:p w14:paraId="61ECEE14" w14:textId="6F7538C8" w:rsidR="00136EC2" w:rsidRPr="00136EC2" w:rsidRDefault="00136EC2" w:rsidP="00136EC2">
            <w:pPr>
              <w:jc w:val="both"/>
              <w:rPr>
                <w:lang w:val="en-GB"/>
              </w:rPr>
            </w:pPr>
            <w:r w:rsidRPr="00136EC2">
              <w:t>Debt burden is the primary delinquency trigger</w:t>
            </w:r>
          </w:p>
        </w:tc>
        <w:tc>
          <w:tcPr>
            <w:tcW w:w="1337" w:type="pct"/>
            <w:tcBorders>
              <w:top w:val="single" w:sz="6" w:space="0" w:color="auto"/>
              <w:left w:val="single" w:sz="6" w:space="0" w:color="auto"/>
              <w:bottom w:val="single" w:sz="6" w:space="0" w:color="auto"/>
              <w:right w:val="single" w:sz="6" w:space="0" w:color="auto"/>
            </w:tcBorders>
            <w:hideMark/>
          </w:tcPr>
          <w:p w14:paraId="59765F4A" w14:textId="408E4AE1" w:rsidR="00136EC2" w:rsidRPr="00136EC2" w:rsidRDefault="00136EC2" w:rsidP="00136EC2">
            <w:pPr>
              <w:jc w:val="both"/>
              <w:rPr>
                <w:lang w:val="en-GB"/>
              </w:rPr>
            </w:pPr>
            <w:r w:rsidRPr="00136EC2">
              <w:t>Customers with a DTI &gt; 0.35</w:t>
            </w:r>
          </w:p>
        </w:tc>
        <w:tc>
          <w:tcPr>
            <w:tcW w:w="944" w:type="pct"/>
            <w:tcBorders>
              <w:top w:val="single" w:sz="6" w:space="0" w:color="auto"/>
              <w:left w:val="single" w:sz="6" w:space="0" w:color="auto"/>
              <w:bottom w:val="single" w:sz="6" w:space="0" w:color="auto"/>
              <w:right w:val="single" w:sz="6" w:space="0" w:color="auto"/>
            </w:tcBorders>
            <w:hideMark/>
          </w:tcPr>
          <w:p w14:paraId="2D32748C" w14:textId="280DEC1D" w:rsidR="00136EC2" w:rsidRPr="00136EC2" w:rsidRDefault="00136EC2" w:rsidP="00136EC2">
            <w:pPr>
              <w:jc w:val="both"/>
              <w:rPr>
                <w:lang w:val="en-GB"/>
              </w:rPr>
            </w:pPr>
            <w:r w:rsidRPr="00136EC2">
              <w:t>DTI Ratio, Income, Loan Balance</w:t>
            </w:r>
          </w:p>
        </w:tc>
        <w:tc>
          <w:tcPr>
            <w:tcW w:w="1858" w:type="pct"/>
            <w:tcBorders>
              <w:top w:val="single" w:sz="6" w:space="0" w:color="auto"/>
              <w:left w:val="single" w:sz="6" w:space="0" w:color="auto"/>
              <w:bottom w:val="single" w:sz="6" w:space="0" w:color="auto"/>
              <w:right w:val="single" w:sz="6" w:space="0" w:color="auto"/>
            </w:tcBorders>
            <w:hideMark/>
          </w:tcPr>
          <w:p w14:paraId="03ADF076" w14:textId="3F30D2D9" w:rsidR="00136EC2" w:rsidRPr="00136EC2" w:rsidRDefault="00136EC2" w:rsidP="00136EC2">
            <w:pPr>
              <w:jc w:val="both"/>
              <w:rPr>
                <w:lang w:val="en-GB"/>
              </w:rPr>
            </w:pPr>
            <w:r w:rsidRPr="00136EC2">
              <w:t>Proactive restructuring for this group can prevent defaults before the first missed payment occurs.</w:t>
            </w:r>
          </w:p>
        </w:tc>
      </w:tr>
      <w:tr w:rsidR="00136EC2" w:rsidRPr="00136EC2" w14:paraId="67CE6DB7" w14:textId="77777777" w:rsidTr="00136EC2">
        <w:trPr>
          <w:trHeight w:val="782"/>
        </w:trPr>
        <w:tc>
          <w:tcPr>
            <w:tcW w:w="861" w:type="pct"/>
            <w:tcBorders>
              <w:top w:val="single" w:sz="6" w:space="0" w:color="auto"/>
              <w:left w:val="single" w:sz="6" w:space="0" w:color="auto"/>
              <w:bottom w:val="single" w:sz="6" w:space="0" w:color="auto"/>
              <w:right w:val="single" w:sz="6" w:space="0" w:color="auto"/>
            </w:tcBorders>
          </w:tcPr>
          <w:p w14:paraId="11988540" w14:textId="120375DE" w:rsidR="00136EC2" w:rsidRPr="00136EC2" w:rsidRDefault="00136EC2" w:rsidP="00136EC2">
            <w:pPr>
              <w:jc w:val="both"/>
              <w:rPr>
                <w:lang w:val="en-GB"/>
              </w:rPr>
            </w:pPr>
            <w:r w:rsidRPr="00136EC2">
              <w:t>Non-traditional employment flags as high risk</w:t>
            </w:r>
          </w:p>
        </w:tc>
        <w:tc>
          <w:tcPr>
            <w:tcW w:w="1337" w:type="pct"/>
            <w:tcBorders>
              <w:top w:val="single" w:sz="6" w:space="0" w:color="auto"/>
              <w:left w:val="single" w:sz="6" w:space="0" w:color="auto"/>
              <w:bottom w:val="single" w:sz="6" w:space="0" w:color="auto"/>
              <w:right w:val="single" w:sz="6" w:space="0" w:color="auto"/>
            </w:tcBorders>
          </w:tcPr>
          <w:p w14:paraId="233C9895" w14:textId="44C43B31" w:rsidR="00136EC2" w:rsidRPr="00136EC2" w:rsidRDefault="00136EC2" w:rsidP="00136EC2">
            <w:pPr>
              <w:jc w:val="both"/>
              <w:rPr>
                <w:lang w:val="en-GB"/>
              </w:rPr>
            </w:pPr>
            <w:r w:rsidRPr="00136EC2">
              <w:t>Self-employed and Unemployed customers</w:t>
            </w:r>
          </w:p>
        </w:tc>
        <w:tc>
          <w:tcPr>
            <w:tcW w:w="944" w:type="pct"/>
            <w:tcBorders>
              <w:top w:val="single" w:sz="6" w:space="0" w:color="auto"/>
              <w:left w:val="single" w:sz="6" w:space="0" w:color="auto"/>
              <w:bottom w:val="single" w:sz="6" w:space="0" w:color="auto"/>
              <w:right w:val="single" w:sz="6" w:space="0" w:color="auto"/>
            </w:tcBorders>
          </w:tcPr>
          <w:p w14:paraId="66B645AC" w14:textId="5DD38B7E" w:rsidR="00136EC2" w:rsidRPr="00136EC2" w:rsidRDefault="00136EC2" w:rsidP="00136EC2">
            <w:pPr>
              <w:jc w:val="both"/>
              <w:rPr>
                <w:lang w:val="en-GB"/>
              </w:rPr>
            </w:pPr>
            <w:r w:rsidRPr="00136EC2">
              <w:t>Employment Status</w:t>
            </w:r>
          </w:p>
        </w:tc>
        <w:tc>
          <w:tcPr>
            <w:tcW w:w="1858" w:type="pct"/>
            <w:tcBorders>
              <w:top w:val="single" w:sz="6" w:space="0" w:color="auto"/>
              <w:left w:val="single" w:sz="6" w:space="0" w:color="auto"/>
              <w:bottom w:val="single" w:sz="6" w:space="0" w:color="auto"/>
              <w:right w:val="single" w:sz="6" w:space="0" w:color="auto"/>
            </w:tcBorders>
          </w:tcPr>
          <w:p w14:paraId="799BC480" w14:textId="773FD13F" w:rsidR="00136EC2" w:rsidRPr="00136EC2" w:rsidRDefault="00136EC2" w:rsidP="00136EC2">
            <w:pPr>
              <w:jc w:val="both"/>
              <w:rPr>
                <w:lang w:val="en-GB"/>
              </w:rPr>
            </w:pPr>
            <w:r w:rsidRPr="00136EC2">
              <w:t>If left unchecked, the model's bias will unfairly deny these applicants, requiring manual underwriting overrides.</w:t>
            </w:r>
          </w:p>
        </w:tc>
      </w:tr>
      <w:tr w:rsidR="00136EC2" w:rsidRPr="00136EC2" w14:paraId="7F57FC39" w14:textId="77777777" w:rsidTr="00447B9E">
        <w:trPr>
          <w:trHeight w:val="1160"/>
        </w:trPr>
        <w:tc>
          <w:tcPr>
            <w:tcW w:w="861" w:type="pct"/>
            <w:tcBorders>
              <w:top w:val="single" w:sz="6" w:space="0" w:color="auto"/>
              <w:left w:val="single" w:sz="6" w:space="0" w:color="auto"/>
              <w:bottom w:val="single" w:sz="6" w:space="0" w:color="auto"/>
              <w:right w:val="single" w:sz="6" w:space="0" w:color="auto"/>
            </w:tcBorders>
          </w:tcPr>
          <w:p w14:paraId="4EC87369" w14:textId="717322B1" w:rsidR="00136EC2" w:rsidRPr="00136EC2" w:rsidRDefault="00136EC2" w:rsidP="00136EC2">
            <w:pPr>
              <w:jc w:val="both"/>
              <w:rPr>
                <w:lang w:val="en-GB"/>
              </w:rPr>
            </w:pPr>
            <w:r w:rsidRPr="00136EC2">
              <w:t>Regional loan balances vary significantly</w:t>
            </w:r>
          </w:p>
        </w:tc>
        <w:tc>
          <w:tcPr>
            <w:tcW w:w="1337" w:type="pct"/>
            <w:tcBorders>
              <w:top w:val="single" w:sz="6" w:space="0" w:color="auto"/>
              <w:left w:val="single" w:sz="6" w:space="0" w:color="auto"/>
              <w:bottom w:val="single" w:sz="6" w:space="0" w:color="auto"/>
              <w:right w:val="single" w:sz="6" w:space="0" w:color="auto"/>
            </w:tcBorders>
          </w:tcPr>
          <w:p w14:paraId="7B0068BE" w14:textId="2C959095" w:rsidR="00136EC2" w:rsidRPr="00136EC2" w:rsidRDefault="00136EC2" w:rsidP="00136EC2">
            <w:pPr>
              <w:jc w:val="both"/>
              <w:rPr>
                <w:lang w:val="en-GB"/>
              </w:rPr>
            </w:pPr>
            <w:r w:rsidRPr="00136EC2">
              <w:t>Customers in specific geographic regions (e.g., Chicago)</w:t>
            </w:r>
          </w:p>
        </w:tc>
        <w:tc>
          <w:tcPr>
            <w:tcW w:w="944" w:type="pct"/>
            <w:tcBorders>
              <w:top w:val="single" w:sz="6" w:space="0" w:color="auto"/>
              <w:left w:val="single" w:sz="6" w:space="0" w:color="auto"/>
              <w:bottom w:val="single" w:sz="6" w:space="0" w:color="auto"/>
              <w:right w:val="single" w:sz="6" w:space="0" w:color="auto"/>
            </w:tcBorders>
          </w:tcPr>
          <w:p w14:paraId="59BF4CEA" w14:textId="6735DF78" w:rsidR="00136EC2" w:rsidRPr="00136EC2" w:rsidRDefault="00136EC2" w:rsidP="00136EC2">
            <w:pPr>
              <w:jc w:val="both"/>
              <w:rPr>
                <w:lang w:val="en-GB"/>
              </w:rPr>
            </w:pPr>
            <w:r w:rsidRPr="00136EC2">
              <w:t>Location, Loan Balance</w:t>
            </w:r>
          </w:p>
        </w:tc>
        <w:tc>
          <w:tcPr>
            <w:tcW w:w="1858" w:type="pct"/>
            <w:tcBorders>
              <w:top w:val="single" w:sz="6" w:space="0" w:color="auto"/>
              <w:left w:val="single" w:sz="6" w:space="0" w:color="auto"/>
              <w:bottom w:val="single" w:sz="6" w:space="0" w:color="auto"/>
              <w:right w:val="single" w:sz="6" w:space="0" w:color="auto"/>
            </w:tcBorders>
          </w:tcPr>
          <w:p w14:paraId="1AF68BA5" w14:textId="5AF7269C" w:rsidR="00136EC2" w:rsidRPr="00136EC2" w:rsidRDefault="00136EC2" w:rsidP="00136EC2">
            <w:pPr>
              <w:jc w:val="both"/>
              <w:rPr>
                <w:lang w:val="en-GB"/>
              </w:rPr>
            </w:pPr>
            <w:r w:rsidRPr="00136EC2">
              <w:t>Calibrating risk thresholds for specific high-balance regions (like Chicago, median balance: $51,435) will ensure more accurate risk assessment.</w:t>
            </w:r>
          </w:p>
        </w:tc>
      </w:tr>
    </w:tbl>
    <w:p w14:paraId="4D876606" w14:textId="28DCA4CB" w:rsidR="0052772E" w:rsidRDefault="0052772E" w:rsidP="0052772E">
      <w:pPr>
        <w:pStyle w:val="Heading1"/>
        <w:numPr>
          <w:ilvl w:val="0"/>
          <w:numId w:val="1"/>
        </w:numPr>
        <w:ind w:left="426"/>
      </w:pPr>
      <w:r w:rsidRPr="0052772E">
        <w:t>Recommendation Framework</w:t>
      </w:r>
    </w:p>
    <w:p w14:paraId="05A7F18F" w14:textId="77777777" w:rsidR="0052772E" w:rsidRPr="0052772E" w:rsidRDefault="0052772E" w:rsidP="0052772E">
      <w:r w:rsidRPr="0052772E">
        <w:t xml:space="preserve">Based on our leading predictive insights, we recommend shifting the Collections strategy from a reactive model to a proactive Early Warning System. </w:t>
      </w:r>
    </w:p>
    <w:p w14:paraId="16EAA6DC" w14:textId="77777777" w:rsidR="0052772E" w:rsidRPr="0052772E" w:rsidRDefault="0052772E" w:rsidP="0052772E">
      <w:pPr>
        <w:numPr>
          <w:ilvl w:val="0"/>
          <w:numId w:val="3"/>
        </w:numPr>
      </w:pPr>
      <w:r w:rsidRPr="0052772E">
        <w:rPr>
          <w:b/>
          <w:bCs/>
        </w:rPr>
        <w:t>Restated Insight:</w:t>
      </w:r>
      <w:r w:rsidRPr="0052772E">
        <w:t xml:space="preserve"> Customers with a Debt-to-Income (DTI) ratio exceeding 0.35 are the most highly vulnerable segment likely to transition into active delinquency. </w:t>
      </w:r>
    </w:p>
    <w:p w14:paraId="43100A55" w14:textId="77777777" w:rsidR="0052772E" w:rsidRPr="0052772E" w:rsidRDefault="0052772E" w:rsidP="0052772E">
      <w:pPr>
        <w:numPr>
          <w:ilvl w:val="0"/>
          <w:numId w:val="3"/>
        </w:numPr>
      </w:pPr>
      <w:r w:rsidRPr="0052772E">
        <w:rPr>
          <w:b/>
          <w:bCs/>
        </w:rPr>
        <w:lastRenderedPageBreak/>
        <w:t>Proposed Recommendation:</w:t>
      </w:r>
      <w:r w:rsidRPr="0052772E">
        <w:t xml:space="preserve"> Implement an automated "Early Warning" proactive outreach and loan restructuring program for all accounts the moment they cross the 0.35 DTI threshold, prior to any missed payments.</w:t>
      </w:r>
    </w:p>
    <w:p w14:paraId="72F048CB" w14:textId="77777777" w:rsidR="0052772E" w:rsidRPr="0052772E" w:rsidRDefault="0052772E" w:rsidP="0052772E">
      <w:r w:rsidRPr="0052772E">
        <w:rPr>
          <w:b/>
          <w:bCs/>
        </w:rPr>
        <w:t>SMART Strategy:</w:t>
      </w:r>
    </w:p>
    <w:p w14:paraId="072598AC" w14:textId="77777777" w:rsidR="0052772E" w:rsidRPr="0052772E" w:rsidRDefault="0052772E" w:rsidP="0052772E">
      <w:pPr>
        <w:numPr>
          <w:ilvl w:val="0"/>
          <w:numId w:val="4"/>
        </w:numPr>
      </w:pPr>
      <w:r w:rsidRPr="0052772E">
        <w:rPr>
          <w:b/>
          <w:bCs/>
        </w:rPr>
        <w:t>Specific:</w:t>
      </w:r>
      <w:r w:rsidRPr="0052772E">
        <w:t xml:space="preserve"> Configure the CRM to automatically flag current customers crossing a 0.35 DTI ratio and trigger a targeted outreach campaign (email/SMS) offering flexible payment restructuring options.</w:t>
      </w:r>
    </w:p>
    <w:p w14:paraId="485EBAF4" w14:textId="77777777" w:rsidR="0052772E" w:rsidRPr="0052772E" w:rsidRDefault="0052772E" w:rsidP="0052772E">
      <w:pPr>
        <w:numPr>
          <w:ilvl w:val="0"/>
          <w:numId w:val="4"/>
        </w:numPr>
      </w:pPr>
      <w:r w:rsidRPr="0052772E">
        <w:rPr>
          <w:b/>
          <w:bCs/>
        </w:rPr>
        <w:t>Measurable:</w:t>
      </w:r>
      <w:r w:rsidRPr="0052772E">
        <w:t xml:space="preserve"> Track the 90-day delinquency rate of this newly targeted cohort against our historical baseline, aiming for a 15% reduction in overall default rates within this group.</w:t>
      </w:r>
    </w:p>
    <w:p w14:paraId="7536EC84" w14:textId="77777777" w:rsidR="0052772E" w:rsidRPr="0052772E" w:rsidRDefault="0052772E" w:rsidP="0052772E">
      <w:pPr>
        <w:numPr>
          <w:ilvl w:val="0"/>
          <w:numId w:val="4"/>
        </w:numPr>
      </w:pPr>
      <w:r w:rsidRPr="0052772E">
        <w:rPr>
          <w:b/>
          <w:bCs/>
        </w:rPr>
        <w:t>Actionable:</w:t>
      </w:r>
      <w:r w:rsidRPr="0052772E">
        <w:t xml:space="preserve"> The Data Risk team will build the DTI alert pipeline, while the Collections team will establish a specialized "Financial Health" advisory unit to handle the inbound restructuring requests.</w:t>
      </w:r>
    </w:p>
    <w:p w14:paraId="571C87E7" w14:textId="77777777" w:rsidR="0052772E" w:rsidRPr="0052772E" w:rsidRDefault="0052772E" w:rsidP="0052772E">
      <w:pPr>
        <w:numPr>
          <w:ilvl w:val="0"/>
          <w:numId w:val="4"/>
        </w:numPr>
      </w:pPr>
      <w:r w:rsidRPr="0052772E">
        <w:rPr>
          <w:b/>
          <w:bCs/>
        </w:rPr>
        <w:t>Relevant:</w:t>
      </w:r>
      <w:r w:rsidRPr="0052772E">
        <w:t xml:space="preserve"> This directly addresses the model’s top predictive feature (DTI), allowing us to protect company revenue while simultaneously providing genuine financial support to our customers. </w:t>
      </w:r>
    </w:p>
    <w:p w14:paraId="7C967DCF" w14:textId="77777777" w:rsidR="0052772E" w:rsidRPr="0052772E" w:rsidRDefault="0052772E" w:rsidP="0052772E">
      <w:pPr>
        <w:numPr>
          <w:ilvl w:val="0"/>
          <w:numId w:val="4"/>
        </w:numPr>
      </w:pPr>
      <w:r w:rsidRPr="0052772E">
        <w:rPr>
          <w:b/>
          <w:bCs/>
        </w:rPr>
        <w:t>Time-bound:</w:t>
      </w:r>
      <w:r w:rsidRPr="0052772E">
        <w:t xml:space="preserve"> Deploy the automated DTI triggers into the Collections CRM within 4 weeks, with a comprehensive performance evaluation scheduled at the end of the next financial quarter.</w:t>
      </w:r>
    </w:p>
    <w:p w14:paraId="2AB6B18C" w14:textId="0F15E1E6" w:rsidR="0052772E" w:rsidRDefault="0052772E" w:rsidP="0052772E">
      <w:r w:rsidRPr="0052772E">
        <w:rPr>
          <w:b/>
          <w:bCs/>
        </w:rPr>
        <w:t>Justification and Business Rationale:</w:t>
      </w:r>
      <w:r w:rsidRPr="0052772E">
        <w:t xml:space="preserve"> Because the model proved that DTI is the strongest leading indicator of default, waiting for a customer to miss a payment before intervening is financially inefficient. Acting </w:t>
      </w:r>
      <w:r w:rsidRPr="0052772E">
        <w:rPr>
          <w:i/>
          <w:iCs/>
        </w:rPr>
        <w:t>before</w:t>
      </w:r>
      <w:r w:rsidRPr="0052772E">
        <w:t xml:space="preserve"> the delinquency occurs transforms the Collections team from reactive debt-collectors into proactive financial advisors, ultimately increasing the likelihood of successful debt recovery and improving customer loyalty.</w:t>
      </w:r>
    </w:p>
    <w:p w14:paraId="57E36357" w14:textId="5824DD1B" w:rsidR="0052772E" w:rsidRDefault="0052772E" w:rsidP="0052772E">
      <w:pPr>
        <w:pStyle w:val="Heading1"/>
        <w:numPr>
          <w:ilvl w:val="0"/>
          <w:numId w:val="1"/>
        </w:numPr>
        <w:ind w:left="426"/>
      </w:pPr>
      <w:r w:rsidRPr="0052772E">
        <w:t>Ethical and Responsible AI Considerations</w:t>
      </w:r>
    </w:p>
    <w:p w14:paraId="3DDA9D9F" w14:textId="77777777" w:rsidR="00693DA1" w:rsidRPr="00693DA1" w:rsidRDefault="00693DA1" w:rsidP="00693DA1">
      <w:r w:rsidRPr="00693DA1">
        <w:t>To ensure fairness, accountability, and compliance with lending regulations, we have established the following guardrails:</w:t>
      </w:r>
    </w:p>
    <w:p w14:paraId="06DDB87A" w14:textId="77777777" w:rsidR="00693DA1" w:rsidRPr="00693DA1" w:rsidRDefault="00693DA1" w:rsidP="00693DA1">
      <w:pPr>
        <w:numPr>
          <w:ilvl w:val="0"/>
          <w:numId w:val="6"/>
        </w:numPr>
      </w:pPr>
      <w:r w:rsidRPr="00693DA1">
        <w:rPr>
          <w:b/>
          <w:bCs/>
        </w:rPr>
        <w:t>Addressing Bias:</w:t>
      </w:r>
      <w:r w:rsidRPr="00693DA1">
        <w:t xml:space="preserve"> Initial audits revealed a severe bias against self-employed applicants (67% False Positive Rate) and signs of geographic redlining (e.g., unfairly penalizing Chicago/Phoenix residents). To fix this and comply with Fair Lending laws, we are completely dropping the Location variable and applying Adversarial Debiasing to mathematically penalize discriminatory patterns.</w:t>
      </w:r>
    </w:p>
    <w:p w14:paraId="02FAE063" w14:textId="77777777" w:rsidR="00693DA1" w:rsidRPr="00693DA1" w:rsidRDefault="00693DA1" w:rsidP="00693DA1">
      <w:pPr>
        <w:numPr>
          <w:ilvl w:val="0"/>
          <w:numId w:val="6"/>
        </w:numPr>
      </w:pPr>
      <w:r w:rsidRPr="00693DA1">
        <w:rPr>
          <w:b/>
          <w:bCs/>
        </w:rPr>
        <w:t>Explainability:</w:t>
      </w:r>
      <w:r w:rsidRPr="00693DA1">
        <w:t xml:space="preserve"> We deliberately chose a Random Forest model because it is fully transparent. Unlike a "black box" Neural Network, this model allows us to legally generate specific "Adverse Action Notices" explaining the exact financial behaviors that led to a denial.</w:t>
      </w:r>
    </w:p>
    <w:p w14:paraId="23C20AD5" w14:textId="1A4ECA05" w:rsidR="0052772E" w:rsidRPr="0052772E" w:rsidRDefault="00693DA1" w:rsidP="0052772E">
      <w:pPr>
        <w:numPr>
          <w:ilvl w:val="0"/>
          <w:numId w:val="6"/>
        </w:numPr>
      </w:pPr>
      <w:r w:rsidRPr="00693DA1">
        <w:rPr>
          <w:b/>
          <w:bCs/>
        </w:rPr>
        <w:t>Responsible Lending:</w:t>
      </w:r>
      <w:r w:rsidRPr="00693DA1">
        <w:t xml:space="preserve"> Our proactive early-warning strategy aligns with ethical lending. By intervening before defaults occur, we protect </w:t>
      </w:r>
      <w:proofErr w:type="spellStart"/>
      <w:r w:rsidRPr="00693DA1">
        <w:t>Geldium's</w:t>
      </w:r>
      <w:proofErr w:type="spellEnd"/>
      <w:r w:rsidRPr="00693DA1">
        <w:t xml:space="preserve"> assets while actively preventing vulnerable customers from falling into unmanageable debt spirals.</w:t>
      </w:r>
    </w:p>
    <w:sectPr w:rsidR="0052772E" w:rsidRPr="005277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54022"/>
    <w:multiLevelType w:val="multilevel"/>
    <w:tmpl w:val="574A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8F1BB8"/>
    <w:multiLevelType w:val="multilevel"/>
    <w:tmpl w:val="44D4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914396"/>
    <w:multiLevelType w:val="multilevel"/>
    <w:tmpl w:val="159C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BC749E"/>
    <w:multiLevelType w:val="hybridMultilevel"/>
    <w:tmpl w:val="CAAE1BAA"/>
    <w:lvl w:ilvl="0" w:tplc="DAAC86E6">
      <w:start w:val="1"/>
      <w:numFmt w:val="decimal"/>
      <w:lvlText w:val="%1."/>
      <w:lvlJc w:val="left"/>
      <w:pPr>
        <w:ind w:left="756" w:hanging="39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9007CB1"/>
    <w:multiLevelType w:val="multilevel"/>
    <w:tmpl w:val="A6FA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F96FD8"/>
    <w:multiLevelType w:val="hybridMultilevel"/>
    <w:tmpl w:val="097C38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68457298">
    <w:abstractNumId w:val="3"/>
  </w:num>
  <w:num w:numId="2" w16cid:durableId="79569307">
    <w:abstractNumId w:val="5"/>
  </w:num>
  <w:num w:numId="3" w16cid:durableId="1168323086">
    <w:abstractNumId w:val="1"/>
  </w:num>
  <w:num w:numId="4" w16cid:durableId="330450513">
    <w:abstractNumId w:val="0"/>
  </w:num>
  <w:num w:numId="5" w16cid:durableId="1944654183">
    <w:abstractNumId w:val="4"/>
  </w:num>
  <w:num w:numId="6" w16cid:durableId="3897688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57A"/>
    <w:rsid w:val="00136EC2"/>
    <w:rsid w:val="002346BC"/>
    <w:rsid w:val="0029157A"/>
    <w:rsid w:val="002F34EC"/>
    <w:rsid w:val="00447B9E"/>
    <w:rsid w:val="0052772E"/>
    <w:rsid w:val="005E69CC"/>
    <w:rsid w:val="00693DA1"/>
    <w:rsid w:val="008640C8"/>
    <w:rsid w:val="00E714EC"/>
    <w:rsid w:val="00E86F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A029F"/>
  <w15:chartTrackingRefBased/>
  <w15:docId w15:val="{52170317-CE61-4741-ADE3-91CF56D62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5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15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15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15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15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15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5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5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5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5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15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15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15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15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15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5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5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57A"/>
    <w:rPr>
      <w:rFonts w:eastAsiaTheme="majorEastAsia" w:cstheme="majorBidi"/>
      <w:color w:val="272727" w:themeColor="text1" w:themeTint="D8"/>
    </w:rPr>
  </w:style>
  <w:style w:type="paragraph" w:styleId="Title">
    <w:name w:val="Title"/>
    <w:basedOn w:val="Normal"/>
    <w:next w:val="Normal"/>
    <w:link w:val="TitleChar"/>
    <w:uiPriority w:val="10"/>
    <w:qFormat/>
    <w:rsid w:val="002915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5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5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5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57A"/>
    <w:pPr>
      <w:spacing w:before="160"/>
      <w:jc w:val="center"/>
    </w:pPr>
    <w:rPr>
      <w:i/>
      <w:iCs/>
      <w:color w:val="404040" w:themeColor="text1" w:themeTint="BF"/>
    </w:rPr>
  </w:style>
  <w:style w:type="character" w:customStyle="1" w:styleId="QuoteChar">
    <w:name w:val="Quote Char"/>
    <w:basedOn w:val="DefaultParagraphFont"/>
    <w:link w:val="Quote"/>
    <w:uiPriority w:val="29"/>
    <w:rsid w:val="0029157A"/>
    <w:rPr>
      <w:i/>
      <w:iCs/>
      <w:color w:val="404040" w:themeColor="text1" w:themeTint="BF"/>
    </w:rPr>
  </w:style>
  <w:style w:type="paragraph" w:styleId="ListParagraph">
    <w:name w:val="List Paragraph"/>
    <w:basedOn w:val="Normal"/>
    <w:uiPriority w:val="34"/>
    <w:qFormat/>
    <w:rsid w:val="0029157A"/>
    <w:pPr>
      <w:ind w:left="720"/>
      <w:contextualSpacing/>
    </w:pPr>
  </w:style>
  <w:style w:type="character" w:styleId="IntenseEmphasis">
    <w:name w:val="Intense Emphasis"/>
    <w:basedOn w:val="DefaultParagraphFont"/>
    <w:uiPriority w:val="21"/>
    <w:qFormat/>
    <w:rsid w:val="0029157A"/>
    <w:rPr>
      <w:i/>
      <w:iCs/>
      <w:color w:val="2F5496" w:themeColor="accent1" w:themeShade="BF"/>
    </w:rPr>
  </w:style>
  <w:style w:type="paragraph" w:styleId="IntenseQuote">
    <w:name w:val="Intense Quote"/>
    <w:basedOn w:val="Normal"/>
    <w:next w:val="Normal"/>
    <w:link w:val="IntenseQuoteChar"/>
    <w:uiPriority w:val="30"/>
    <w:qFormat/>
    <w:rsid w:val="002915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157A"/>
    <w:rPr>
      <w:i/>
      <w:iCs/>
      <w:color w:val="2F5496" w:themeColor="accent1" w:themeShade="BF"/>
    </w:rPr>
  </w:style>
  <w:style w:type="character" w:styleId="IntenseReference">
    <w:name w:val="Intense Reference"/>
    <w:basedOn w:val="DefaultParagraphFont"/>
    <w:uiPriority w:val="32"/>
    <w:qFormat/>
    <w:rsid w:val="002915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740</Words>
  <Characters>4223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Mrinal Dey</dc:creator>
  <cp:keywords/>
  <dc:description/>
  <cp:lastModifiedBy>Mrinal Dey</cp:lastModifiedBy>
  <cp:revision>6</cp:revision>
  <dcterms:created xsi:type="dcterms:W3CDTF">2026-05-05T13:19:00Z</dcterms:created>
  <dcterms:modified xsi:type="dcterms:W3CDTF">2026-05-05T13:54:00Z</dcterms:modified>
</cp:coreProperties>
</file>