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Google - compute engine - offer - IaaS (Infrastructure as a Service)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Compute Engine provides maximum flexibility for those who prefer to manage server instances themselves.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GKE (Google Kubernetes Engine) - runs containerized applications in a cloud environment.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App Engine - Fully managed PaaS offering (Platform as a Service)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Bind code to libraries, more focused on application logic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Cloud Functions - Executes code in response to events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Cloud Run -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TPU (Tensor Processing Unit) -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Google cloud ⬇️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Relational databases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 - relational databases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Worldwide object storage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30774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288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Gojek case study -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First Challenge - Data Latency: Reports we produced one day later, so they couldn’t identify problems immediately.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Dataflow - use for streaming and data processing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BigQuery  - use for real-time business insights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Second Challenge -  Quickly determining which location had too many, or too few, drivers to meet demand.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Dataflow - Streaming event data pipeline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Driver location to Pub/Sub for every 30 secs.  - Dataflow to process the data - Pipeline would aggregate the supply pings from the drivers against the booking requests - Notification  This would connect to Gojeks notification system to alert drivers where they should go.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90950" cy="19907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Pub/Sub - Publisher/Subscriber or Publish messages to subscribers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It’s a distributed messaging service that can receive messages from a variety of device streams such  as gaming events, IoT devices, and application streams. And offers end to end encryption.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Architecture -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Dataflow -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Dataflow is serverless and NoOps and it’s designed for low maintenance.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We don’t need to monitor all of the compute and storage resources that Dataflow manages.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Dataflow templates ⬇️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Streaming ➡️ Streaming - Pub/Sub to BigQuery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Pub/Sub to cloud Storage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Datastream to BigQuery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Pub/Sub to MongoDB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Batch - Big Query to Cloud Storage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Bigtable to Cloud Storage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Cloud Storage to BigQuery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Cloud Spanner to CLoud Storage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Utility - Bulk compression of Cloud Storage files 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Firestore bulk delete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File format conversion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