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Response to Reviewers (Revision 2)</w:t>
      </w:r>
    </w:p>
    <w:p>
      <w:pPr>
        <w:spacing w:after="120" w:line="264"/>
        <w:jc w:val="left"/>
      </w:pPr>
      <w:r>
        <w:rPr>
          <w:rFonts w:ascii="Times New Roman" w:cs="Times New Roman" w:eastAsia="Times New Roman" w:hAnsi="Times New Roman"/>
          <w:b/>
          <w:bCs/>
          <w:sz w:val="22"/>
          <w:szCs w:val="22"/>
        </w:rPr>
        <w:t xml:space="preserve">Manuscript:</w:t>
      </w:r>
      <w:r>
        <w:rPr>
          <w:rFonts w:ascii="Times New Roman" w:cs="Times New Roman" w:eastAsia="Times New Roman" w:hAnsi="Times New Roman"/>
          <w:sz w:val="22"/>
          <w:szCs w:val="22"/>
        </w:rPr>
        <w:t xml:space="preserve"> A TabNet-Driven Deep Learning Framework for Disease-Based Dietary Portion Recommendation</w:t>
      </w:r>
    </w:p>
    <w:p>
      <w:pPr>
        <w:spacing w:after="120" w:line="264"/>
        <w:jc w:val="left"/>
      </w:pPr>
      <w:r>
        <w:rPr>
          <w:rFonts w:ascii="Times New Roman" w:cs="Times New Roman" w:eastAsia="Times New Roman" w:hAnsi="Times New Roman"/>
          <w:b/>
          <w:bCs/>
          <w:sz w:val="22"/>
          <w:szCs w:val="22"/>
        </w:rPr>
        <w:t xml:space="preserve">Submission ID:</w:t>
      </w:r>
      <w:r>
        <w:rPr>
          <w:rFonts w:ascii="Times New Roman" w:cs="Times New Roman" w:eastAsia="Times New Roman" w:hAnsi="Times New Roman"/>
          <w:sz w:val="22"/>
          <w:szCs w:val="22"/>
        </w:rPr>
        <w:t xml:space="preserve"> 48b78bef-dfde-405c-a072-59ef194461ba</w:t>
      </w:r>
    </w:p>
    <w:p>
      <w:pPr>
        <w:spacing w:after="120" w:line="264"/>
        <w:jc w:val="left"/>
      </w:pPr>
      <w:r>
        <w:rPr>
          <w:rFonts w:ascii="Times New Roman" w:cs="Times New Roman" w:eastAsia="Times New Roman" w:hAnsi="Times New Roman"/>
          <w:b/>
          <w:bCs/>
          <w:sz w:val="22"/>
          <w:szCs w:val="22"/>
        </w:rPr>
        <w:t xml:space="preserve">Journal:</w:t>
      </w:r>
      <w:r>
        <w:rPr>
          <w:rFonts w:ascii="Times New Roman" w:cs="Times New Roman" w:eastAsia="Times New Roman" w:hAnsi="Times New Roman"/>
          <w:sz w:val="22"/>
          <w:szCs w:val="22"/>
        </w:rPr>
        <w:t xml:space="preserve"> Discover Computing</w:t>
      </w:r>
    </w:p>
    <w:p>
      <w:pPr>
        <w:spacing w:after="120" w:line="264"/>
        <w:jc w:val="both"/>
      </w:pPr>
      <w:r>
        <w:rPr>
          <w:rFonts w:ascii="Times New Roman" w:cs="Times New Roman" w:eastAsia="Times New Roman" w:hAnsi="Times New Roman"/>
          <w:sz w:val="22"/>
          <w:szCs w:val="22"/>
        </w:rPr>
        <w:t xml:space="preserve">We thank the editor and the three reviewers for a second round of precise and constructive comments. Reviewer 2 identifies the main remaining issue as the inferential bridge from predicted clinical outcomes to nutrient-specific sensitivity and, ultimately, to patient-specific gram limits. We agree. In this revision we have kept that bridge explicitly labelled as an unvalidated modelling assumption throughout, added analyses that measure how much the computed ceilings depend on the classifier, and separated what is now evidenced from what still requires dietitian-labelled and prospective validation, which we have not performed.</w:t>
      </w:r>
    </w:p>
    <w:p>
      <w:pPr>
        <w:spacing w:after="120" w:line="264"/>
        <w:jc w:val="both"/>
      </w:pPr>
      <w:r>
        <w:rPr>
          <w:rFonts w:ascii="Times New Roman" w:cs="Times New Roman" w:eastAsia="Times New Roman" w:hAnsi="Times New Roman"/>
          <w:sz w:val="22"/>
          <w:szCs w:val="22"/>
        </w:rPr>
        <w:t xml:space="preserve">We also report two results that do not favour our model, because the reviewers’ comments led us to look. A gradient-boosting model trained under the identical protocol scores higher than TabNet on every target, and for the acute-kidney-injury proxy the guideline rules are right more often than TabNet on the cases where the two disagree. The manuscript now says so, and no longer attributes importance to the choice of TabNet on grounds of accuracy.</w:t>
      </w:r>
    </w:p>
    <w:p>
      <w:pPr>
        <w:pStyle w:val="Heading2"/>
        <w:keepNext/>
        <w:spacing w:after="120" w:before="240"/>
      </w:pPr>
      <w:r>
        <w:rPr>
          <w:rFonts w:ascii="Times New Roman" w:cs="Times New Roman" w:eastAsia="Times New Roman" w:hAnsi="Times New Roman"/>
          <w:b/>
          <w:bCs/>
          <w:sz w:val="24"/>
          <w:szCs w:val="24"/>
        </w:rPr>
        <w:t xml:space="preserve">Summary of the main changes</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A stronger same-data baseline.</w:t>
      </w:r>
      <w:r>
        <w:rPr>
          <w:rFonts w:ascii="Times New Roman" w:cs="Times New Roman" w:eastAsia="Times New Roman" w:hAnsi="Times New Roman"/>
          <w:sz w:val="22"/>
          <w:szCs w:val="22"/>
        </w:rPr>
        <w:t xml:space="preserve"> XGBoost is trained and evaluated under the same patient-level split, preprocessing, class balancing, calibration, patient-cluster bootstrap and 5×5 repeated grouped cross-validation. It scores higher than TabNet on every target (mean macro-F1 0.437 vs 0.417; mean AUROC 0.749 vs 0.731). TabNet’s justification is restated as native attention-based attribution and a calibrated continuous severity score (Reviewer 2, point 5).</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What the learned component adds.</w:t>
      </w:r>
      <w:r>
        <w:rPr>
          <w:rFonts w:ascii="Times New Roman" w:cs="Times New Roman" w:eastAsia="Times New Roman" w:hAnsi="Times New Roman"/>
          <w:sz w:val="22"/>
          <w:szCs w:val="22"/>
        </w:rPr>
        <w:t xml:space="preserve"> New analyses of near-cut-off, disagreement and confidence strata (Section 3.3), and of how classifier error propagates into gram ceilings (Section 3.5) (Reviewer 3, points 1–2; Reviewer 2, point 4).</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Missingness.</w:t>
      </w:r>
      <w:r>
        <w:rPr>
          <w:rFonts w:ascii="Times New Roman" w:cs="Times New Roman" w:eastAsia="Times New Roman" w:hAnsi="Times New Roman"/>
          <w:sz w:val="22"/>
          <w:szCs w:val="22"/>
        </w:rPr>
        <w:t xml:space="preserve"> Per-target missingness, a statement that no missingness indicators are supplied to the models, and an analysis of whether missingness itself carries outcome information (Section 3.4) (Reviewer 2, point 8).</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Allergy and preference exclusions are now deterministic hard filters</w:t>
      </w:r>
      <w:r>
        <w:rPr>
          <w:rFonts w:ascii="Times New Roman" w:cs="Times New Roman" w:eastAsia="Times New Roman" w:hAnsi="Times New Roman"/>
          <w:sz w:val="22"/>
          <w:szCs w:val="22"/>
        </w:rPr>
        <w:t xml:space="preserve"> applied before portion computation, substitution and recipe generation, and re-checked against the generated text (Reviewer 2, point 11).</w:t>
      </w:r>
    </w:p>
    <w:p>
      <w:pPr>
        <w:pStyle w:val="ListParagraph"/>
        <w:numPr>
          <w:ilvl w:val="0"/>
          <w:numId w:val="2"/>
        </w:numPr>
        <w:spacing w:after="100" w:line="264"/>
        <w:jc w:val="both"/>
      </w:pPr>
      <w:r>
        <w:rPr>
          <w:rFonts w:ascii="Times New Roman" w:cs="Times New Roman" w:eastAsia="Times New Roman" w:hAnsi="Times New Roman"/>
          <w:b/>
          <w:bCs/>
          <w:sz w:val="22"/>
          <w:szCs w:val="22"/>
        </w:rPr>
        <w:t>Recipe verification is deterministic. A rule-based parser decides whether a generated recipe is delivered; failing recipes are regenerated, then replaced by a template built from the ceilings, and an unverified recipe is never presented as compliant (Reviewer 2, point 10). It has been evaluated over 240 synthetic cases: 12.9% of first drafts were rejected, none needed the template fallback, and no violations were observed in the evaluated sample (0 of 1,376 delivered quantities; one-sided 95% upper bound 0.22%; Section 3.6).</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Reproducibility details</w:t>
      </w:r>
      <w:r>
        <w:rPr>
          <w:rFonts w:ascii="Times New Roman" w:cs="Times New Roman" w:eastAsia="Times New Roman" w:hAnsi="Times New Roman"/>
          <w:sz w:val="22"/>
          <w:szCs w:val="22"/>
        </w:rPr>
        <w:t xml:space="preserve"> requested by Reviewer 1: isotonic-transform parameters, complete hyperparameters with the tuning grid, constraint directions, and full-pipeline latency.</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Figures regenerated.</w:t>
      </w:r>
      <w:r>
        <w:rPr>
          <w:rFonts w:ascii="Times New Roman" w:cs="Times New Roman" w:eastAsia="Times New Roman" w:hAnsi="Times New Roman"/>
          <w:sz w:val="22"/>
          <w:szCs w:val="22"/>
        </w:rPr>
        <w:t xml:space="preserve"> The architecture diagram was redrawn to show the exclusion filter, the verifier loop and exactly what leaves the local deployment; the interface screenshots were regenerated from the current build; two new figures show the exclusion behaviour and the verifier’s states.</w:t>
      </w:r>
    </w:p>
    <w:p>
      <w:pPr>
        <w:pStyle w:val="ListParagraph"/>
        <w:numPr>
          <w:ilvl w:val="0"/>
          <w:numId w:val="2"/>
        </w:numPr>
        <w:spacing w:after="100" w:line="264"/>
        <w:jc w:val="both"/>
      </w:pPr>
      <w:r>
        <w:rPr>
          <w:rFonts w:ascii="Times New Roman" w:cs="Times New Roman" w:eastAsia="Times New Roman" w:hAnsi="Times New Roman"/>
          <w:b/>
          <w:bCs/>
          <w:sz w:val="22"/>
          <w:szCs w:val="22"/>
        </w:rPr>
        <w:t xml:space="preserve">What we have not done,</w:t>
      </w:r>
      <w:r>
        <w:rPr>
          <w:rFonts w:ascii="Times New Roman" w:cs="Times New Roman" w:eastAsia="Times New Roman" w:hAnsi="Times New Roman"/>
          <w:sz w:val="22"/>
          <w:szCs w:val="22"/>
        </w:rPr>
        <w:t xml:space="preserve"> stated plainly in the manuscript: dietitian-labelled validation of the ceilings, external validation on an Indian cohort, a quantitative evaluation of the ingredient detector, and testing on low-resource hardware.</w:t>
      </w:r>
    </w:p>
    <w:p>
      <w:pPr>
        <w:spacing w:after="120" w:line="264"/>
        <w:jc w:val="both"/>
      </w:pPr>
      <w:r>
        <w:rPr>
          <w:rFonts w:ascii="Times New Roman" w:cs="Times New Roman" w:eastAsia="Times New Roman" w:hAnsi="Times New Roman"/>
          <w:sz w:val="22"/>
          <w:szCs w:val="22"/>
        </w:rPr>
        <w:t xml:space="preserve">The deployed TabNet models are unchanged from the previous revision. Retraining from a clean commit reproduced identical weights and metrics, and the model manifest now records a clean commit.</w:t>
      </w:r>
    </w:p>
    <w:p>
      <w:pPr>
        <w:spacing w:after="120" w:before="100"/>
        <w:jc w:val="both"/>
      </w:pPr>
      <w:r>
        <w:rPr>
          <w:rFonts w:ascii="Times New Roman" w:cs="Times New Roman" w:eastAsia="Times New Roman" w:hAnsi="Times New Roman"/>
          <w:i/>
          <w:iCs/>
          <w:sz w:val="20"/>
          <w:szCs w:val="20"/>
        </w:rPr>
        <w:t xml:space="preserve">Section, table and figure numbers in the responses below refer to the revised manuscript.</w:t>
      </w:r>
    </w:p>
    <w:p>
      <w:pPr>
        <w:pStyle w:val="Heading1"/>
        <w:keepNext/>
        <w:pBdr>
          <w:bottom w:val="single" w:color="000000" w:sz="6" w:space="4"/>
        </w:pBdr>
        <w:spacing w:after="160" w:before="360"/>
      </w:pPr>
      <w:r>
        <w:rPr>
          <w:rFonts w:ascii="Times New Roman" w:cs="Times New Roman" w:eastAsia="Times New Roman" w:hAnsi="Times New Roman"/>
          <w:b/>
          <w:bCs/>
          <w:sz w:val="28"/>
          <w:szCs w:val="28"/>
        </w:rPr>
        <w:t xml:space="preserve">Reviewer 1</w:t>
      </w:r>
    </w:p>
    <w:p>
      <w:pPr>
        <w:spacing w:after="120" w:line="264"/>
        <w:jc w:val="both"/>
      </w:pPr>
      <w:r>
        <w:rPr>
          <w:rFonts w:ascii="Times New Roman" w:cs="Times New Roman" w:eastAsia="Times New Roman" w:hAnsi="Times New Roman"/>
          <w:sz w:val="22"/>
          <w:szCs w:val="22"/>
        </w:rPr>
        <w:t xml:space="preserve">We thank Reviewer 1 for the helpful technical suggestions, all of which concern reproducibility.</w:t>
      </w:r>
    </w:p>
    <w:p>
      <w:pPr>
        <w:keepNext/>
        <w:spacing w:after="120" w:before="200" w:line="264"/>
        <w:jc w:val="both"/>
      </w:pPr>
      <w:r>
        <w:rPr>
          <w:rFonts w:ascii="Times New Roman" w:cs="Times New Roman" w:eastAsia="Times New Roman" w:hAnsi="Times New Roman"/>
          <w:b/>
          <w:bCs/>
          <w:sz w:val="22"/>
          <w:szCs w:val="22"/>
        </w:rPr>
        <w:t xml:space="preserve">Point 1. Authors need to provide additional technical specifics about the MonotonicFeatureTransformer, including the algorithmic approach for enforcing monotonicity per target and any parameter settings used in isotonic regression preprocessing.</w:t>
      </w:r>
    </w:p>
    <w:p>
      <w:pPr>
        <w:spacing w:after="120" w:line="264"/>
        <w:jc w:val="both"/>
      </w:pPr>
      <w:r>
        <w:rPr>
          <w:rFonts w:ascii="Times New Roman" w:cs="Times New Roman" w:eastAsia="Times New Roman" w:hAnsi="Times New Roman"/>
          <w:sz w:val="22"/>
          <w:szCs w:val="22"/>
        </w:rPr>
        <w:t xml:space="preserve">Section 2.4 now has an “Implementation” paragraph. A separate transformer is fitted for each target, using only that target’s labelled training rows. Each constrained feature is median-imputed and standardised, then regressed against the target’s ordinal outcome (0/1/2) with scikit-learn’s IsotonicRegression, with the direction set to +1 or −1 (positive for creatinine, serum potassium, HbA1c, fasting glucose, systolic and diastolic blood pressure, BMI and serum sodium; negative for eGFR) and out_of_bounds set to “clip”. There are no other tuning parameters. The fitted step function is exported as a piecewise-linear map and applied at inference by linear interpolation, so no scikit-learn object is needed to serve the model; features without a constraint (age, sex, comorbidity flags) pass through unchanged. Table 15 (Supplementary tables, end of the manuscript) gives the direction applied to every feature for every target.</w:t>
      </w:r>
    </w:p>
    <w:p>
      <w:pPr>
        <w:keepNext/>
        <w:spacing w:after="120" w:before="200" w:line="264"/>
        <w:jc w:val="both"/>
      </w:pPr>
      <w:r>
        <w:rPr>
          <w:rFonts w:ascii="Times New Roman" w:cs="Times New Roman" w:eastAsia="Times New Roman" w:hAnsi="Times New Roman"/>
          <w:b/>
          <w:bCs/>
          <w:sz w:val="22"/>
          <w:szCs w:val="22"/>
        </w:rPr>
        <w:t xml:space="preserve">Point 2. Include detailed hyperparameter configurations for the TabNet classifiers (e.g., number of decision steps, relaxation parameters, batch size, learning rate schedules) to allow reproducibility and technical scrutiny.</w:t>
      </w:r>
    </w:p>
    <w:p>
      <w:pPr>
        <w:spacing w:after="120" w:line="264"/>
        <w:jc w:val="both"/>
      </w:pPr>
      <w:r>
        <w:rPr>
          <w:rFonts w:ascii="Times New Roman" w:cs="Times New Roman" w:eastAsia="Times New Roman" w:hAnsi="Times New Roman"/>
          <w:sz w:val="22"/>
          <w:szCs w:val="22"/>
        </w:rPr>
        <w:t xml:space="preserve">Supplementary tables, generated directly from the stored model artifacts and training configuration so that they cannot drift from the deployed model, now list: n_d = n_a = 16; 5 decision steps; relaxation parameter γ = 1.3; sparsemax masking; sparsity penalty λ_sparse = 1×10⁻³ (library default); Adam with learning rate 0.02 and weight decay 1×10⁻⁵; a StepLR schedule (step 50, factor 0.9); batch size 4096 with virtual batch size 256; up to 100 epochs with patience 10 on balanced accuracy; inverse-frequency class-balanced sampling; seed 42; and the best epoch and training size for each target. The seven-setting tuning grid evaluated on the validation fold is included with its results (Table 14). Section 2.5 points to these tables (Supplementary Tables 12–14, end of the manuscript).</w:t>
      </w:r>
    </w:p>
    <w:p>
      <w:pPr>
        <w:keepNext/>
        <w:spacing w:after="120" w:before="200" w:line="264"/>
        <w:jc w:val="both"/>
      </w:pPr>
      <w:r>
        <w:rPr>
          <w:rFonts w:ascii="Times New Roman" w:cs="Times New Roman" w:eastAsia="Times New Roman" w:hAnsi="Times New Roman"/>
          <w:b/>
          <w:bCs/>
          <w:sz w:val="22"/>
          <w:szCs w:val="22"/>
        </w:rPr>
        <w:t xml:space="preserve">Point 3. Present the exact threshold rules and formulas used by the LabelGenerator to assign Low/Moderate/High nutrient sensitivity classes, including numeric cutoff values and clinical guideline references, ideally in a supplementary table.</w:t>
      </w:r>
    </w:p>
    <w:p>
      <w:pPr>
        <w:spacing w:after="120" w:line="264"/>
        <w:jc w:val="both"/>
      </w:pPr>
      <w:r>
        <w:rPr>
          <w:rFonts w:ascii="Times New Roman" w:cs="Times New Roman" w:eastAsia="Times New Roman" w:hAnsi="Times New Roman"/>
          <w:sz w:val="22"/>
          <w:szCs w:val="22"/>
        </w:rPr>
        <w:t>The training targets are no longer produced by the LabelGenerator; they are observed outcomes measured after the feature window. Both sets of definitions are given in full, with numeric cut-offs and guideline references, in Tables 2 and 3 of Section 2.2 of the main text rather than a supplement: the observed-outcome definitions used as training targets (AHA/ACC, KDIGO 2024 and 2012, ADA 2024), and the guideline-rule baseline thresholds that the LabelGenerator now implements purely as the comparison baseline. We have kept them in the main text because the comparison against the rules depends on them. In this revision the outcome cut-offs in Table 2 are written with explicit inequality bounds so that no value falls between tiers, Section 2.6 states which proxy scales which nutrient budget and gives the rule used for the (non-learned) phosphorus severity, and the daily nutrient budgets for each comorbidity combination are listed in Supplementary Table 16.</w:t>
      </w:r>
    </w:p>
    <w:p>
      <w:pPr>
        <w:keepNext/>
        <w:spacing w:after="120" w:before="200" w:line="264"/>
        <w:jc w:val="both"/>
      </w:pPr>
      <w:r>
        <w:rPr>
          <w:rFonts w:ascii="Times New Roman" w:cs="Times New Roman" w:eastAsia="Times New Roman" w:hAnsi="Times New Roman"/>
          <w:b/>
          <w:bCs/>
          <w:sz w:val="22"/>
          <w:szCs w:val="22"/>
        </w:rPr>
        <w:t xml:space="preserve">Point 4. Provide explicit timing benchmarks for TabNet inference and the complete pipeline latency on specified hardware configurations, along with memory usage statistics, to assist readers in assessing practical deployment feasibility.</w:t>
      </w:r>
    </w:p>
    <w:p>
      <w:pPr>
        <w:spacing w:after="120" w:line="264"/>
        <w:jc w:val="both"/>
      </w:pPr>
      <w:r>
        <w:rPr>
          <w:rFonts w:ascii="Times New Roman" w:cs="Times New Roman" w:eastAsia="Times New Roman" w:hAnsi="Times New Roman"/>
          <w:sz w:val="22"/>
          <w:szCs w:val="22"/>
        </w:rPr>
        <w:t xml:space="preserve">Section 3.7 reports, with the hardware stated: artifacts of 0.93 MB; model loading of 1.77 s; one complete patient inference covering all four targets and their attention masks of 48.4 ms on average on a single CPU thread (median 47.6 ms, 95th percentile 56.7 ms over 200 repetitions); and a peak resident memory of approximately 661 MB, dominated by the PyTorch runtime. These were measured on an Intel Core i7-12700H with 16 GB of RAM.</w:t>
      </w:r>
    </w:p>
    <w:p>
      <w:pPr>
        <w:spacing w:after="120" w:line="264"/>
        <w:jc w:val="both"/>
      </w:pPr>
      <w:r>
        <w:rPr>
          <w:rFonts w:ascii="Times New Roman" w:cs="Times New Roman" w:eastAsia="Times New Roman" w:hAnsi="Times New Roman"/>
          <w:sz w:val="22"/>
          <w:szCs w:val="22"/>
        </w:rPr>
        <w:t xml:space="preserve">New in this revision is the complete pipeline: risk stratification with attention masks, budget derivation, portion computation, ingredient lookup and substitute search took a median of 65 ms per patient (95th percentile 75 ms, 99th percentile 88 ms) on a single CPU thread over 300 calls after warm-up, excluding the web server and external services. This second benchmark was run on a different machine (Intel Core i7-13700H, 16 GB of RAM) and is reported separately for that reason. We have not tested single-board or low-specification clinic hardware.</w:t>
      </w:r>
    </w:p>
    <w:p>
      <w:pPr>
        <w:pStyle w:val="Heading1"/>
        <w:keepNext/>
        <w:pBdr>
          <w:bottom w:val="single" w:color="000000" w:sz="6" w:space="4"/>
        </w:pBdr>
        <w:spacing w:after="160" w:before="360"/>
      </w:pPr>
      <w:r>
        <w:rPr>
          <w:rFonts w:ascii="Times New Roman" w:cs="Times New Roman" w:eastAsia="Times New Roman" w:hAnsi="Times New Roman"/>
          <w:b/>
          <w:bCs/>
          <w:sz w:val="28"/>
          <w:szCs w:val="28"/>
        </w:rPr>
        <w:t xml:space="preserve">Reviewer 2</w:t>
      </w:r>
    </w:p>
    <w:p>
      <w:pPr>
        <w:spacing w:after="120" w:line="264"/>
        <w:jc w:val="both"/>
      </w:pPr>
      <w:r>
        <w:rPr>
          <w:rFonts w:ascii="Times New Roman" w:cs="Times New Roman" w:eastAsia="Times New Roman" w:hAnsi="Times New Roman"/>
          <w:sz w:val="22"/>
          <w:szCs w:val="22"/>
        </w:rPr>
        <w:t xml:space="preserve">We thank Reviewer 2 for a careful and generous reading, and for pointing to exactly where the remaining weaknesses lie. The comments below are answered in the reviewer’s order.</w:t>
      </w:r>
    </w:p>
    <w:p>
      <w:pPr>
        <w:keepNext/>
        <w:spacing w:after="120" w:before="200" w:line="264"/>
        <w:jc w:val="both"/>
      </w:pPr>
      <w:r>
        <w:rPr>
          <w:rFonts w:ascii="Times New Roman" w:cs="Times New Roman" w:eastAsia="Times New Roman" w:hAnsi="Times New Roman"/>
          <w:b/>
          <w:bCs/>
          <w:sz w:val="22"/>
          <w:szCs w:val="22"/>
        </w:rPr>
        <w:t xml:space="preserve">Point 1. The most important remaining issue is the conceptual link between predicted clinical outcomes and dietary sensitivity/portion limits. The four TabNet models predict subsequent hyperkalaemia, AKI, hyperglycaemia and follow-up blood-pressure categories. These are clinically meaningful outcomes, but they are not observed responses to sodium, potassium, protein or carbohydrate intake. Consequently, calling these outputs “sodium sensitivity,” “potassium sensitivity,” “protein restriction,” and “carbohydrate sensitivity,” and subsequently using their probabilities to determine ingredient-level maximum gram quantities, requires substantially stronger justification. The manuscript itself acknowledges that these outcomes are proxies rather than direct measures of dietary response. The authors should either validate the mapping against dietitian-prescribed restrictions/actual dietary-response data or consistently redefine these outputs as outcome-risk proxies and moderate all downstream clinical-safety terminology accordingly.</w:t>
      </w:r>
    </w:p>
    <w:p>
      <w:pPr>
        <w:spacing w:after="120" w:line="264"/>
        <w:jc w:val="both"/>
      </w:pPr>
      <w:r>
        <w:rPr>
          <w:rFonts w:ascii="Times New Roman" w:cs="Times New Roman" w:eastAsia="Times New Roman" w:hAnsi="Times New Roman"/>
          <w:sz w:val="22"/>
          <w:szCs w:val="22"/>
        </w:rPr>
        <w:t xml:space="preserve">We agree that the outcomes are not observed responses to nutrient intake, and we have taken the second option: the outputs are redefined as outcome-risk proxies throughout. They are named for the outcome they predict (for example “Potassium proxy (hyperkalaemia)”), the code identifiers are retained only for traceability, and the interface labels follow the same convention (Sections 1.2, 2.1 and 2.2; Table 2).</w:t>
      </w:r>
    </w:p>
    <w:p>
      <w:pPr>
        <w:spacing w:after="120" w:line="264"/>
        <w:jc w:val="both"/>
      </w:pPr>
      <w:r>
        <w:rPr>
          <w:rFonts w:ascii="Times New Roman" w:cs="Times New Roman" w:eastAsia="Times New Roman" w:hAnsi="Times New Roman"/>
          <w:sz w:val="22"/>
          <w:szCs w:val="22"/>
        </w:rPr>
        <w:t xml:space="preserve">Section 2.2 states that using these outputs as inputs to nutrient budgets is a design assumption, not a validated relationship, because each outcome is influenced by many factors besides the nutrient it stands in for (medication, acute illness, dialysis, insulin, hydration) and MIMIC-IV contains no dietary intake data. Section 2.6 (“Status of the outcome-to-ceiling mapping”) repeats this for the portion engine, and the Discussion (Section 4, Limitations) lists the mapping among the limitations.</w:t>
      </w:r>
    </w:p>
    <w:p>
      <w:pPr>
        <w:spacing w:after="120" w:line="264"/>
        <w:jc w:val="both"/>
      </w:pPr>
      <w:r>
        <w:rPr>
          <w:rFonts w:ascii="Times New Roman" w:cs="Times New Roman" w:eastAsia="Times New Roman" w:hAnsi="Times New Roman"/>
          <w:sz w:val="22"/>
          <w:szCs w:val="22"/>
        </w:rPr>
        <w:t xml:space="preserve">We have not validated the mapping against dietitian-prescribed restrictions or dietary-response data. The validation that would do so is set out in Section 4 (“Planned validation” and “Minimum evidence before any clinical use”). In the meantime, the new Section 3.5 quantifies how much a computed ceiling changes when the classifier is wrong, so that readers can judge how much weight the proxy-to-ceiling step carries.</w:t>
      </w:r>
    </w:p>
    <w:p>
      <w:pPr>
        <w:keepNext/>
        <w:spacing w:after="120" w:before="200" w:line="264"/>
        <w:jc w:val="both"/>
      </w:pPr>
      <w:r>
        <w:rPr>
          <w:rFonts w:ascii="Times New Roman" w:cs="Times New Roman" w:eastAsia="Times New Roman" w:hAnsi="Times New Roman"/>
          <w:b/>
          <w:bCs/>
          <w:sz w:val="22"/>
          <w:szCs w:val="22"/>
        </w:rPr>
        <w:t xml:space="preserve">Point 2. Relatedly, the manuscript does not yet clinically validate the most consequential component: the portion recommendation engine. The machine-learning component is evaluated against observed outcomes, and the generative component is evaluated for adherence to supplied gram ceilings, but neither establishes that the computed gram ceilings themselves are clinically appropriate. No independent dietitian panel has assessed the generated quantities, and no dietitian-labelled concordance or prospective validation has been performed. This distinction should be made central to the paper: model discrimination, rule compliance, and clinical validity of dietary recommendations are three different questions.</w:t>
      </w:r>
    </w:p>
    <w:p>
      <w:pPr>
        <w:spacing w:after="120" w:line="264"/>
        <w:jc w:val="both"/>
      </w:pPr>
      <w:r>
        <w:rPr>
          <w:rFonts w:ascii="Times New Roman" w:cs="Times New Roman" w:eastAsia="Times New Roman" w:hAnsi="Times New Roman"/>
          <w:sz w:val="22"/>
          <w:szCs w:val="22"/>
        </w:rPr>
        <w:t xml:space="preserve">Agreed, and we have made this distinction central. Table 1 in Section 1.2 sets out the evidence level for each of the three questions (predictive performance: shown, modest; rule compliance of the computed outputs: preliminary; clinical validity and safety of the gram ceilings: not established). The same three-way separation structures the opening of the Discussion (Section 4) and the Conclusion (Section 5).</w:t>
      </w:r>
    </w:p>
    <w:p>
      <w:pPr>
        <w:spacing w:after="120" w:line="264"/>
        <w:jc w:val="both"/>
      </w:pPr>
      <w:r>
        <w:rPr>
          <w:rFonts w:ascii="Times New Roman" w:cs="Times New Roman" w:eastAsia="Times New Roman" w:hAnsi="Times New Roman"/>
          <w:sz w:val="22"/>
          <w:szCs w:val="22"/>
        </w:rPr>
        <w:t xml:space="preserve">No independent dietitian panel has assessed the ceilings and no dietitian-labelled concordance or prospective validation has been performed; the manuscript says so in each of those places. We have prepared an operational protocol for the first validation stage, to accompany the code (see Section 4, “Planned validation”): blinded rating of the computed ceilings by at least three independent dietitians on synthetic profiles covering all eight comorbidity strata, with a rules-only comparator hidden from the raters, repeated items for intra-rater consistency, agreement statistics, and acceptance criteria to be fixed before any rating is collected. No ratings have been collected.</w:t>
      </w:r>
    </w:p>
    <w:p>
      <w:pPr>
        <w:keepNext/>
        <w:spacing w:after="120" w:before="200" w:line="264"/>
        <w:jc w:val="both"/>
      </w:pPr>
      <w:r>
        <w:rPr>
          <w:rFonts w:ascii="Times New Roman" w:cs="Times New Roman" w:eastAsia="Times New Roman" w:hAnsi="Times New Roman"/>
          <w:b/>
          <w:bCs/>
          <w:sz w:val="22"/>
          <w:szCs w:val="22"/>
        </w:rPr>
        <w:t xml:space="preserve">Point 3. The terminology “maximum safe gram quantities” is therefore too strong. The portion engine generates constraint-derived quantities from predicted outcome risks and guideline budgets; these quantities have not been demonstrated to constitute patient-specific safety limits. I recommend terminology such as “computed guideline-constrained gram ceilings” or “model-derived maximum recommended quantities” until clinical validation is available. This change should be applied consistently to the Abstract, Methods, Results, figures, user interface description and Discussion.</w:t>
      </w:r>
    </w:p>
    <w:p>
      <w:pPr>
        <w:spacing w:after="120" w:line="264"/>
        <w:jc w:val="both"/>
      </w:pPr>
      <w:r>
        <w:rPr>
          <w:rFonts w:ascii="Times New Roman" w:cs="Times New Roman" w:eastAsia="Times New Roman" w:hAnsi="Times New Roman"/>
          <w:sz w:val="22"/>
          <w:szCs w:val="22"/>
        </w:rPr>
        <w:t xml:space="preserve">We adopted “computed guideline-constrained gram ceilings” and applied it throughout the Abstract, Sections 1.2, 2.6, 3.5 and 3.9 (including Table 11), the Discussion (Section 4), the Conclusion (Section 5), the figure captions and the user-interface description (Section 2.1). We searched the manuscript, the repository documentation and the interface strings for “safe”, “maximum safe” and similar wording; the remaining occurrences are negations (“not validated safety limits”) or refer to cited work.</w:t>
      </w:r>
    </w:p>
    <w:p>
      <w:pPr>
        <w:spacing w:after="120" w:line="264"/>
        <w:jc w:val="both"/>
      </w:pPr>
      <w:r>
        <w:rPr>
          <w:rFonts w:ascii="Times New Roman" w:cs="Times New Roman" w:eastAsia="Times New Roman" w:hAnsi="Times New Roman"/>
          <w:sz w:val="22"/>
          <w:szCs w:val="22"/>
        </w:rPr>
        <w:t xml:space="preserve">The interface carries a persistent banner on every screen stating that the quantities are computed ceilings that have not been validated by dietitians, and the portion screen states that the ceilings are “not validated safety limits”. The interface screenshots in the manuscript were regenerated from the current build so that the figures match this wording (Figures 5–13), and the architecture diagram was redrawn (Figure 1).</w:t>
      </w:r>
    </w:p>
    <w:p>
      <w:pPr>
        <w:keepNext/>
        <w:spacing w:after="120" w:before="200" w:line="264"/>
        <w:jc w:val="both"/>
      </w:pPr>
      <w:r>
        <w:rPr>
          <w:rFonts w:ascii="Times New Roman" w:cs="Times New Roman" w:eastAsia="Times New Roman" w:hAnsi="Times New Roman"/>
          <w:b/>
          <w:bCs/>
          <w:sz w:val="22"/>
          <w:szCs w:val="22"/>
        </w:rPr>
        <w:t xml:space="preserve">Point 4. The clinical interpretation of the TabNet advantage over the guideline baseline requires moderation. TabNet statistically outperforms the deterministic rules on all four targets, which is encouraging. However, the absolute macro-F1 values remain modest: 0.390, 0.414, 0.379 and 0.486 for the four respective targets, with AUROCs ranging approximately from 0.67 to 0.78. Statistical superiority over a relatively simple deterministic baseline should not be interpreted as establishing clinical adequacy. The revised manuscript should more clearly distinguish statistical improvement from clinically actionable predictive performance.</w:t>
      </w:r>
    </w:p>
    <w:p>
      <w:pPr>
        <w:spacing w:after="120" w:line="264"/>
        <w:jc w:val="both"/>
      </w:pPr>
      <w:r>
        <w:rPr>
          <w:rFonts w:ascii="Times New Roman" w:cs="Times New Roman" w:eastAsia="Times New Roman" w:hAnsi="Times New Roman"/>
          <w:sz w:val="22"/>
          <w:szCs w:val="22"/>
        </w:rPr>
        <w:t xml:space="preserve">Section 3.1 contains a paragraph headed “Statistical versus clinical significance” stating that the absolute performance is modest (macro-F1 0.379–0.486; AUROC 0.673–0.775), that superiority over a simple baseline shows only that the model extracts more signal from 14 features, and that we make no claim of clinical actionability. This revision adds three things.</w:t>
      </w:r>
    </w:p>
    <w:p>
      <w:pPr>
        <w:spacing w:after="120" w:line="264"/>
        <w:jc w:val="both"/>
      </w:pPr>
      <w:r>
        <w:rPr>
          <w:rFonts w:ascii="Times New Roman" w:cs="Times New Roman" w:eastAsia="Times New Roman" w:hAnsi="Times New Roman"/>
          <w:b/>
          <w:bCs/>
          <w:sz w:val="22"/>
          <w:szCs w:val="22"/>
        </w:rPr>
        <w:t xml:space="preserve">A stronger comparator (Section 3.1, Table 6).</w:t>
      </w:r>
      <w:r>
        <w:rPr>
          <w:rFonts w:ascii="Times New Roman" w:cs="Times New Roman" w:eastAsia="Times New Roman" w:hAnsi="Times New Roman"/>
          <w:sz w:val="22"/>
          <w:szCs w:val="22"/>
        </w:rPr>
        <w:t xml:space="preserve"> We trained XGBoost under exactly the same full protocol as TabNet (same patient-level split, preprocessing, class weighting, prior correction, patient-cluster bootstrap and 5×5 repeated grouped cross-validation). It scores slightly higher than TabNet on every target (macro-F1 0.413 vs 0.390 for the sodium proxy, 0.419 vs 0.414 potassium, 0.409 vs 0.379 protein and 0.509 vs 0.486 carbohydrate; mean 0.437 vs 0.417, mean AUROC 0.749 vs 0.731). TabNet’s advantage over a simple deterministic rule baseline is therefore not an advantage over conventional learned models, and the manuscript says so.</w:t>
      </w:r>
    </w:p>
    <w:p>
      <w:pPr>
        <w:spacing w:after="120" w:line="264"/>
        <w:jc w:val="both"/>
      </w:pPr>
      <w:r>
        <w:rPr>
          <w:rFonts w:ascii="Times New Roman" w:cs="Times New Roman" w:eastAsia="Times New Roman" w:hAnsi="Times New Roman"/>
          <w:b/>
          <w:bCs/>
          <w:sz w:val="22"/>
          <w:szCs w:val="22"/>
        </w:rPr>
        <w:t xml:space="preserve">Where the advantage lies (Section 3.3).</w:t>
      </w:r>
      <w:r>
        <w:rPr>
          <w:rFonts w:ascii="Times New Roman" w:cs="Times New Roman" w:eastAsia="Times New Roman" w:hAnsi="Times New Roman"/>
          <w:sz w:val="22"/>
          <w:szCs w:val="22"/>
        </w:rPr>
        <w:t xml:space="preserve"> TabNet’s advantage over the rules is concentrated among patients with a rule input near a guideline cut-off (macro-F1 difference +0.085 for the protein proxy and +0.235 for the carbohydrate proxy) and among patients on whom the two disagree (+0.152 sodium, +0.161 potassium, +0.343 carbohydrate). It reverses in places: for the protein proxy TabNet is worse than the rules when the two disagree (−0.020; the rules alone are right on 36% of those cases and TabNet alone on 24%), and for the sodium proxy it is worse in the third of patients where TabNet is most confident.</w:t>
      </w:r>
    </w:p>
    <w:p>
      <w:pPr>
        <w:spacing w:after="120" w:line="264"/>
        <w:jc w:val="both"/>
      </w:pPr>
      <w:r>
        <w:rPr>
          <w:rFonts w:ascii="Times New Roman" w:cs="Times New Roman" w:eastAsia="Times New Roman" w:hAnsi="Times New Roman"/>
          <w:b/>
          <w:bCs/>
          <w:sz w:val="22"/>
          <w:szCs w:val="22"/>
        </w:rPr>
        <w:t>What it means for grams (Section 3.5, Table 9).</w:t>
      </w:r>
      <w:r>
        <w:rPr>
          <w:rFonts w:ascii="Times New Roman" w:cs="Times New Roman" w:eastAsia="Times New Roman" w:hAnsi="Times New Roman"/>
          <w:sz w:val="22"/>
          <w:szCs w:val="22"/>
        </w:rPr>
        <w:t xml:space="preserve"> In the portion engine the severity score scales the share of the remaining daily guideline budget available to an ingredient between a floor of 0.05 and an upper value of 0.42. For the use-case patient, moving from severity 1 to severity 2 reduces each ingredient’s ceiling to 34–82% of its previous value, while the first tier step often changes nothing because many ingredients sit at the 300 g practical cap. On 3,000 test admissions across all 101 ingredients, restricted to the 190,617 patient–ingredient pairs whose ceiling is set by a nutrient rather than by the cap, ceilings computed from TabNet’s severity fall within ±25% of ceilings computed from the observed outcome levels for 79.1% of pairs, against 51.4% for the guideline-rule label and 43.3% for no personalisation. TabNet’s ceilings are also more often too permissive (19.4% of pairs, against 8.2% for the rules). The observed outcome is itself a proxy, so this shows how classifier error propagates into grams and what the learned component adds; it does not show that either set of ceilings is safe.</w:t>
      </w:r>
    </w:p>
    <w:p>
      <w:pPr>
        <w:keepNext/>
        <w:spacing w:after="120" w:before="200" w:line="264"/>
        <w:jc w:val="both"/>
      </w:pPr>
      <w:r>
        <w:rPr>
          <w:rFonts w:ascii="Times New Roman" w:cs="Times New Roman" w:eastAsia="Times New Roman" w:hAnsi="Times New Roman"/>
          <w:b/>
          <w:bCs/>
          <w:sz w:val="22"/>
          <w:szCs w:val="22"/>
        </w:rPr>
        <w:t xml:space="preserve">Point 5. A stronger same-data predictive baseline would improve the machine-learning contribution. The manuscript mentions a gradient-boosting “ceiling check,” but the principal comparison remains TabNet versus deterministic guideline rules. Since gradient boosting methods are strong baselines for tabular clinical data, XGBoost/LightGBM or an equivalent conventional model should ideally be trained and evaluated under exactly the same full protocol and reported alongside TabNet for macro-F1, AUROC, calibration and confidence intervals. This is particularly important because the contribution currently attributes considerable importance to the choice of TabNet. If the authors already performed this experiment, it should be elevated from a secondary ceiling check into the main comparative evaluation.</w:t>
      </w:r>
    </w:p>
    <w:p>
      <w:pPr>
        <w:spacing w:after="120" w:line="264"/>
        <w:jc w:val="both"/>
      </w:pPr>
      <w:r>
        <w:rPr>
          <w:rFonts w:ascii="Times New Roman" w:cs="Times New Roman" w:eastAsia="Times New Roman" w:hAnsi="Times New Roman"/>
          <w:sz w:val="22"/>
          <w:szCs w:val="22"/>
        </w:rPr>
        <w:t xml:space="preserve">The earlier ceiling check was a single-fold run and had not been performed under the full protocol. We have now run XGBoost under exactly the same protocol as TabNet: the same patient-level split, early stopping on the same validation fold, the same imputation, scaling, class weighting and prior correction, the same patient-cluster bootstrap with paired differences, and the same 5×5 repeated grouped cross-validation with identical seeds and folds. Tree depth was chosen on the same fold used to tune TabNet. The single-fold note was removed and the comparison is now Table 6 in Section 3.1, with the protocol described in Section 2.8(a).</w:t>
      </w:r>
    </w:p>
    <w:p>
      <w:pPr>
        <w:spacing w:after="120" w:line="264"/>
        <w:jc w:val="both"/>
      </w:pPr>
      <w:r>
        <w:rPr>
          <w:rFonts w:ascii="Times New Roman" w:cs="Times New Roman" w:eastAsia="Times New Roman" w:hAnsi="Times New Roman"/>
          <w:b/>
          <w:bCs/>
          <w:sz w:val="22"/>
          <w:szCs w:val="22"/>
        </w:rPr>
        <w:t xml:space="preserve">The result is not favourable to TabNet.</w:t>
      </w:r>
      <w:r>
        <w:rPr>
          <w:rFonts w:ascii="Times New Roman" w:cs="Times New Roman" w:eastAsia="Times New Roman" w:hAnsi="Times New Roman"/>
          <w:sz w:val="22"/>
          <w:szCs w:val="22"/>
        </w:rPr>
        <w:t xml:space="preserve"> XGBoost scores higher on every target. Macro-F1, XGBoost vs TabNet: 0.413 vs 0.390 (sodium proxy), 0.419 vs 0.414 (potassium), 0.409 vs 0.379 (protein), 0.509 vs 0.486 (carbohydrate); mean 0.437 vs 0.417. Mean AUROC is 0.749 vs 0.731. The confidence intervals of the differences exclude zero for all four targets, and the same ordering holds in the repeated cross-validation. XGBoost on TabNet’s isotonic-transformed inputs scores lower than on raw inputs (mean macro-F1 0.427), so the transform costs accuracy for trees as well. TabNet is better calibrated on sodium and potassium (expected calibration error 0.006 and 0.004 vs 0.017 and 0.011) and similar on protein and carbohydrate.</w:t>
      </w:r>
    </w:p>
    <w:p>
      <w:pPr>
        <w:spacing w:after="120" w:line="264"/>
        <w:jc w:val="both"/>
      </w:pPr>
      <w:r>
        <w:rPr>
          <w:rFonts w:ascii="Times New Roman" w:cs="Times New Roman" w:eastAsia="Times New Roman" w:hAnsi="Times New Roman"/>
          <w:sz w:val="22"/>
          <w:szCs w:val="22"/>
        </w:rPr>
        <w:t xml:space="preserve">Accordingly, we no longer attribute importance to TabNet on grounds of accuracy. The Abstract, Section 3.1, the Discussion (Section 4) and the Conclusion (Section 5) now state that its case rests on native per-patient attention attribution and a calibrated continuous severity score. We also report, in Section 3.1, an exploratory tuning study (not adopted; the deployed model is unchanged): removing the isotonic transform and re-tuning batch size and learning-rate decay raised mean test macro-F1 from 0.417 to 0.421 and mean AUROC from 0.731 to 0.741, but unevenly (macro-F1 +0.022 for the protein proxy and +0.014 for carbohydrate, −0.003 for potassium, and −0.017 for follow-up blood pressure), and it remained below XGBoost on every target.</w:t>
      </w:r>
    </w:p>
    <w:p>
      <w:pPr>
        <w:keepNext/>
        <w:spacing w:after="120" w:before="200" w:line="264"/>
        <w:jc w:val="both"/>
      </w:pPr>
      <w:r>
        <w:rPr>
          <w:rFonts w:ascii="Times New Roman" w:cs="Times New Roman" w:eastAsia="Times New Roman" w:hAnsi="Times New Roman"/>
          <w:b/>
          <w:bCs/>
          <w:sz w:val="22"/>
          <w:szCs w:val="22"/>
        </w:rPr>
        <w:t xml:space="preserve">Point 6. The interpretability claim remains stronger than the evidence. TabNet produces native attention masks, and the aggregate attribution patterns reportedly correspond to expected clinical variables. This is useful model-inspection evidence. However, native attention is not by itself evidence that the resulting explanations are clinically correct or useful. The authors appropriately acknowledge that no clinician/dietitian study has tested explanation fidelity or trust. Accordingly, expressions such as “clinically explainable dietary recommendations” in the Abstract should be softened to “model-transparent” or “attention-based feature attribution” unless independent clinical evaluation is provided.</w:t>
      </w:r>
    </w:p>
    <w:p>
      <w:pPr>
        <w:spacing w:after="120" w:line="264"/>
        <w:jc w:val="both"/>
      </w:pPr>
      <w:r>
        <w:rPr>
          <w:rFonts w:ascii="Times New Roman" w:cs="Times New Roman" w:eastAsia="Times New Roman" w:hAnsi="Times New Roman"/>
          <w:sz w:val="22"/>
          <w:szCs w:val="22"/>
        </w:rPr>
        <w:t xml:space="preserve">Agreed. The Abstract and the Conclusion (Section 5) use “model-transparent” and “attention-based feature attribution”; “clinically explainable” no longer appears. Section 3.8 states that the aggregated attributions are model-inspection evidence only and that no evaluation of fidelity or usefulness to clinicians was performed, and the Discussion (Section 4, Limitations) repeats this and notes that such a study is a prerequisite for any stronger claim. The new gradient-boosting result (XGBoost, trained under the same protocol, scores higher than TabNet on every target: mean macro-F1 0.437 vs 0.417; Section 3.1, Table 6) reinforces the point that the attributions are the reason to use TabNet, not its accuracy.</w:t>
      </w:r>
    </w:p>
    <w:p>
      <w:pPr>
        <w:keepNext/>
        <w:spacing w:after="120" w:before="200" w:line="264"/>
        <w:jc w:val="both"/>
      </w:pPr>
      <w:r>
        <w:rPr>
          <w:rFonts w:ascii="Times New Roman" w:cs="Times New Roman" w:eastAsia="Times New Roman" w:hAnsi="Times New Roman"/>
          <w:b/>
          <w:bCs/>
          <w:sz w:val="22"/>
          <w:szCs w:val="22"/>
        </w:rPr>
        <w:t xml:space="preserve">Point 7. The external validity limitation remains substantial despite the Indian prevalence reweighting. MIMIC-IV is a retrospective single-centre US dataset. Reweighting HTN/T2DM/CKD prevalence toward Indian estimates changes the case-mix distribution but cannot reproduce Indian laboratory distributions, dietary exposures, healthcare practices, disease phenotypes, socioeconomic factors or treatment patterns. The response letter correctly acknowledges that this is an ablation rather than Indian validation. This careful wording should be maintained throughout the manuscript, particularly because the downstream recommendation system is specifically grounded in IFCT and presented for an Indian context.</w:t>
      </w:r>
    </w:p>
    <w:p>
      <w:pPr>
        <w:spacing w:after="120" w:line="264"/>
        <w:jc w:val="both"/>
      </w:pPr>
      <w:r>
        <w:rPr>
          <w:rFonts w:ascii="Times New Roman" w:cs="Times New Roman" w:eastAsia="Times New Roman" w:hAnsi="Times New Roman"/>
          <w:sz w:val="22"/>
          <w:szCs w:val="22"/>
        </w:rPr>
        <w:t xml:space="preserve">We have kept this wording (Sections 2.2, 3.1 and 4). The reweighted evaluation in Section 3.1 is labelled an ablation, not an Indian validation, and states that it cannot reproduce Indian laboratory distributions, dietary exposures, treatment patterns or care pathways. The Discussion (Section 4, Limitations) adds disease phenotypes and diets, and states that the grounding in the Indian Food Composition Tables concerns food composition only, while the risk model itself is trained on a US cohort. Prospective and external Indian validation remain listed as outstanding.</w:t>
      </w:r>
    </w:p>
    <w:p>
      <w:pPr>
        <w:keepNext/>
        <w:spacing w:after="120" w:before="200" w:line="264"/>
        <w:jc w:val="both"/>
      </w:pPr>
      <w:r>
        <w:rPr>
          <w:rFonts w:ascii="Times New Roman" w:cs="Times New Roman" w:eastAsia="Times New Roman" w:hAnsi="Times New Roman"/>
          <w:b/>
          <w:bCs/>
          <w:sz w:val="22"/>
          <w:szCs w:val="22"/>
        </w:rPr>
        <w:t xml:space="preserve">Point 8. The high level of missingness deserves more emphasis. HbA1c is missing in 82.9% of admissions, morning glucose in 56.8%, and several features depend on proxies or fallback measurements. The missing-data stress test is valuable, but robustness after artificially nulling additional values does not eliminate potential informative-missingness bias in the original observational dataset. The authors should report per-target missingness, clarify whether missingness indicators were supplied to TabNet, and discuss whether missingness itself may encode healthcare-utilization or disease-severity information.</w:t>
      </w:r>
    </w:p>
    <w:p>
      <w:pPr>
        <w:spacing w:after="120" w:line="264"/>
        <w:jc w:val="both"/>
      </w:pPr>
      <w:r>
        <w:rPr>
          <w:rFonts w:ascii="Times New Roman" w:cs="Times New Roman" w:eastAsia="Times New Roman" w:hAnsi="Times New Roman"/>
          <w:sz w:val="22"/>
          <w:szCs w:val="22"/>
        </w:rPr>
        <w:t xml:space="preserve">A new section (Section 3.4, “Missingness”) addresses all three requests.</w:t>
      </w:r>
    </w:p>
    <w:p>
      <w:pPr>
        <w:spacing w:after="120" w:line="264"/>
        <w:jc w:val="both"/>
      </w:pPr>
      <w:r>
        <w:rPr>
          <w:rFonts w:ascii="Times New Roman" w:cs="Times New Roman" w:eastAsia="Times New Roman" w:hAnsi="Times New Roman"/>
          <w:b/>
          <w:bCs/>
          <w:sz w:val="22"/>
          <w:szCs w:val="22"/>
        </w:rPr>
        <w:t xml:space="preserve">Per-target missingness.</w:t>
      </w:r>
      <w:r>
        <w:rPr>
          <w:rFonts w:ascii="Times New Roman" w:cs="Times New Roman" w:eastAsia="Times New Roman" w:hAnsi="Times New Roman"/>
          <w:sz w:val="22"/>
          <w:szCs w:val="22"/>
        </w:rPr>
        <w:t xml:space="preserve"> Among admissions that carry each target’s label, HbA1c is missing in 77–79%, morning glucose in 35–37%, BMI in 29–46%, systolic blood pressure in 17–32% and baseline chemistry in under 3%.</w:t>
      </w:r>
    </w:p>
    <w:p>
      <w:pPr>
        <w:spacing w:after="120" w:line="264"/>
        <w:jc w:val="both"/>
      </w:pPr>
      <w:r>
        <w:rPr>
          <w:rFonts w:ascii="Times New Roman" w:cs="Times New Roman" w:eastAsia="Times New Roman" w:hAnsi="Times New Roman"/>
          <w:b/>
          <w:bCs/>
          <w:sz w:val="22"/>
          <w:szCs w:val="22"/>
        </w:rPr>
        <w:t xml:space="preserve">Indicators.</w:t>
      </w:r>
      <w:r>
        <w:rPr>
          <w:rFonts w:ascii="Times New Roman" w:cs="Times New Roman" w:eastAsia="Times New Roman" w:hAnsi="Times New Roman"/>
          <w:sz w:val="22"/>
          <w:szCs w:val="22"/>
        </w:rPr>
        <w:t xml:space="preserve"> The models receive no missingness indicators; missing values are median-imputed from training rows. Section 2.2 now says so.</w:t>
      </w:r>
    </w:p>
    <w:p>
      <w:pPr>
        <w:spacing w:after="120" w:line="264"/>
        <w:jc w:val="both"/>
      </w:pPr>
      <w:r>
        <w:rPr>
          <w:rFonts w:ascii="Times New Roman" w:cs="Times New Roman" w:eastAsia="Times New Roman" w:hAnsi="Times New Roman"/>
          <w:b/>
          <w:bCs/>
          <w:sz w:val="22"/>
          <w:szCs w:val="22"/>
        </w:rPr>
        <w:t xml:space="preserve">Informative missingness.</w:t>
      </w:r>
      <w:r>
        <w:rPr>
          <w:rFonts w:ascii="Times New Roman" w:cs="Times New Roman" w:eastAsia="Times New Roman" w:hAnsi="Times New Roman"/>
          <w:sz w:val="22"/>
          <w:szCs w:val="22"/>
        </w:rPr>
        <w:t xml:space="preserve"> Missingness is not uninformative: for the carbohydrate proxy, 34.9% of admissions with a measured HbA1c reach a moderate or worse outcome versus 21.4% of those without, and a model given only the measured/not-measured indicators reaches AUROC 0.54–0.59 (chance 0.50). Adding the indicators to the laboratory features changes the AUROC of a gradient-boosting model by at most 0.002, so they add almost nothing beyond the imputed values. We discuss that missingness plausibly reflects healthcare utilisation or a clinician’s suspicion of disease, that artificially nulling additional values cannot probe this, and that it limits transfer to settings with different testing patterns. We did not retrain TabNet with indicators; the indicator analysis used a gradient-boosting model.</w:t>
      </w:r>
    </w:p>
    <w:p>
      <w:pPr>
        <w:spacing w:after="120" w:line="264"/>
        <w:jc w:val="both"/>
      </w:pPr>
      <w:r>
        <w:rPr>
          <w:rFonts w:ascii="Times New Roman" w:cs="Times New Roman" w:eastAsia="Times New Roman" w:hAnsi="Times New Roman"/>
          <w:sz w:val="22"/>
          <w:szCs w:val="22"/>
        </w:rPr>
        <w:t xml:space="preserve">Section 3.2 (“Comparison with gradient boosting under missing inputs”) also now states that XGBoost degrades as gracefully as TabNet under nulled inputs, so graceful degradation is a property of learned models with imputation in general, and that the rules’ macro-F1 for the carbohydrate proxy rises as inputs are removed because they stop over-calling higher tiers; the “fails closed” result concerns decisions drifting to a lower tier, not accuracy.</w:t>
      </w:r>
    </w:p>
    <w:p>
      <w:pPr>
        <w:keepNext/>
        <w:spacing w:after="120" w:before="200" w:line="264"/>
        <w:jc w:val="both"/>
      </w:pPr>
      <w:r>
        <w:rPr>
          <w:rFonts w:ascii="Times New Roman" w:cs="Times New Roman" w:eastAsia="Times New Roman" w:hAnsi="Times New Roman"/>
          <w:b/>
          <w:bCs/>
          <w:sz w:val="22"/>
          <w:szCs w:val="22"/>
        </w:rPr>
        <w:t xml:space="preserve">Point 9. The generative-agent safety experiment is useful but too small to support broad safety claims. Thirty-two recipes and 156 successfully verified quantities produced zero observed gram-limit violations, giving a one-sided 95% upper bound of 1.9%. Four quantities could not be verified. This is appropriately reported, but the experiment establishes preliminary adherence under the tested prompts rather than general safety. The manuscript should consistently use “no violations observed in the evaluated sample” rather than wording that could imply guaranteed hard constraint enforcement.</w:t>
      </w:r>
    </w:p>
    <w:p>
      <w:pPr>
        <w:spacing w:after="120" w:line="264"/>
        <w:jc w:val="both"/>
      </w:pPr>
      <w:r>
        <w:rPr>
          <w:rFonts w:ascii="Times New Roman" w:cs="Times New Roman" w:eastAsia="Times New Roman" w:hAnsi="Times New Roman"/>
          <w:sz w:val="22"/>
          <w:szCs w:val="22"/>
        </w:rPr>
        <w:t>We agree and use the wording “no violations observed in the evaluated sample” throughout (Abstract, Sections 3.6, 4 and 5). Section 3.6 reports the 32-recipe experiment as the earlier, model-mediated configuration: four quantities were recorded as unverified rather than compliant, and the result is a preliminary check under the tested prompts on synthetic profiles. It is now superseded by the 240-case evaluation of the deployed verifier described below. The Discussion (Section 4, Limitations) states that a violation within the verifier’s checked scope is not returned by design (subject to the correctness of the parser), that this covers only quantities written in the ingredient list, that it relies on exact name matching, and that the cases were synthetic and a single model was tested.</w:t>
      </w:r>
    </w:p>
    <w:p>
      <w:pPr>
        <w:spacing w:after="120" w:line="264"/>
        <w:jc w:val="both"/>
      </w:pPr>
      <w:r>
        <w:rPr>
          <w:rFonts w:ascii="Times New Roman" w:cs="Times New Roman" w:eastAsia="Times New Roman" w:hAnsi="Times New Roman"/>
          <w:sz w:val="22"/>
          <w:szCs w:val="22"/>
        </w:rPr>
        <w:t>We have also evaluated the deployed deterministic verifier at scale (Sections 2.8 and 3.6): 240 synthetic cases (24 profiles covering all eight HTN/DM/CKD strata, ten ingredient sets each, 72 cases with exclusions) driven through the unmodified recipe endpoint with openai/gpt-oss-120b, recording for each case whether the first draft passed, what was finally delivered, the quantities over a ceiling and the exclusion hits. All 240 cases returned a recipe. At the first attempt 31 recipes (12.9%; 95% CI 9.3–17.8%) were rejected, all for format or name-matching reasons (unknown ingredient name 17, missing ingredients section 8, unparseable line 5, missing quantity 1, no parseable ingredient line 1; reasons can overlap); the first drafts contained no quantity over a ceiling (0 of 1,301 listed quantities; one-sided 95% upper bound 0.23%) and no excluded term. In total 209 recipes were delivered at the first attempt and 31 after regeneration (29 at the second attempt, two at the third); none needed the template fallback (0 of 240; one-sided 95% upper bound 1.25%). No violations were observed in the evaluated sample: 0 of 1,376 delivered quantities exceeded a ceiling (one-sided 95% upper bound 0.22%). Because delivered recipes pass the verifier by construction, this is not independent evidence; an independent model-mediated re-reading of 237 delivered recipes (the audit’s extractor counted 1,376 quantities; the verifier parsed 1,357 in the same recipes) also found none over a ceiling and no extraction failures (the three pilot recipes were run before auditing was enabled and were not audited). The run was interrupted several times by the hosting service’s daily token limit and resumed (completed cases were skipped), and all 240 cases were completed; the HTN+T2DM-without-CKD cases were rerun after a daily budget row was added for that combination, which previously fell back to the general budget. The Abstract, Section 3.6 and the Conclusion have been updated accordingly.</w:t>
      </w:r>
    </w:p>
    <w:p>
      <w:pPr>
        <w:keepNext/>
        <w:spacing w:after="120" w:before="200" w:line="264"/>
        <w:jc w:val="both"/>
      </w:pPr>
      <w:r>
        <w:rPr>
          <w:rFonts w:ascii="Times New Roman" w:cs="Times New Roman" w:eastAsia="Times New Roman" w:hAnsi="Times New Roman"/>
          <w:b/>
          <w:bCs/>
          <w:sz w:val="22"/>
          <w:szCs w:val="22"/>
        </w:rPr>
        <w:t xml:space="preserve">Point 10. The verification mechanism for LLM output is itself model-mediated and therefore is not a truly deterministic safety layer. The manuscript states that a second structured extraction call identifies the quantities used in the generated recipe, followed by comparison against the allowed ceiling. If this extraction is another LLM call, a generation error and extraction error could theoretically interact. This concern is supported by the four quantities that could not be verified. For a clinical decision-support architecture, I strongly recommend a deterministic post-generation parser/validator where feasible, with failure causing rejection/regeneration rather than leaving an output merely “unverified.”</w:t>
      </w:r>
    </w:p>
    <w:p>
      <w:pPr>
        <w:spacing w:after="120" w:line="264"/>
        <w:jc w:val="both"/>
      </w:pPr>
      <w:r>
        <w:rPr>
          <w:rFonts w:ascii="Times New Roman" w:cs="Times New Roman" w:eastAsia="Times New Roman" w:hAnsi="Times New Roman"/>
          <w:sz w:val="22"/>
          <w:szCs w:val="22"/>
        </w:rPr>
        <w:t xml:space="preserve">We agree and have implemented this. The second language-model extraction call is no longer the gate. The recipe prompt now requires a fixed ingredient-line format, and a rule-based parser (regular expressions; no language model) decides whether a recipe is delivered (Section 2.7). A recipe is rejected if any ingredient line cannot be parsed, a quantity is not stated in grams, an ingredient is not on the permitted list (water, pepper and oil excepted; salt is also rejected for patients with hypertension or CKD), any quantity exceeds its ceiling with no tolerance, or an excluded term appears anywhere in the text. A rejected recipe is regenerated with the specific failures fed back to the model, up to three times. If none passes, the system returns a template recipe assembled directly from the ceilings without the language model, which must itself pass the same verifier; if no template can be built, no recipe is returned. An unverified recipe is therefore never presented as compliant.</w:t>
      </w:r>
    </w:p>
    <w:p>
      <w:pPr>
        <w:spacing w:after="120" w:line="264"/>
        <w:jc w:val="both"/>
      </w:pPr>
      <w:r>
        <w:rPr>
          <w:rFonts w:ascii="Times New Roman" w:cs="Times New Roman" w:eastAsia="Times New Roman" w:hAnsi="Times New Roman"/>
          <w:sz w:val="22"/>
          <w:szCs w:val="22"/>
        </w:rPr>
        <w:t>The limits are stated: the verifier checks quantities written in the ingredient list but not amounts implied only in the cooking steps; names must match exactly after normalisation or by an unambiguous short alias (unknown-name rejections were the commonest first-draft failure in the 240-case evaluation); and the exclusion scan is keyword-based. It is covered by ten automated unit tests and by the 240-case evaluation of the deployed verifier reported in Section 3.6, which used synthetic profiles and a single language model and does not show that violations cannot occur.</w:t>
      </w:r>
    </w:p>
    <w:p>
      <w:pPr>
        <w:keepNext/>
        <w:spacing w:after="120" w:before="200" w:line="264"/>
        <w:jc w:val="both"/>
      </w:pPr>
      <w:r>
        <w:rPr>
          <w:rFonts w:ascii="Times New Roman" w:cs="Times New Roman" w:eastAsia="Times New Roman" w:hAnsi="Times New Roman"/>
          <w:b/>
          <w:bCs/>
          <w:sz w:val="22"/>
          <w:szCs w:val="22"/>
        </w:rPr>
        <w:t xml:space="preserve">Point 11. Allergy and intolerance handling remains a safety-critical weakness. These exclusions are currently prompt-level only, are not independently verified, and do not constrain the upstream ingredient intake or substitution engine. Consequently, an allergenic ingredient can still appear in the recommendation pipeline before recipe generation. This should not remain solely future work if the system is presented as an end-to-end clinical decision-support system. At minimum, allergy/intolerance exclusions should be deterministic hard constraints applied before portion computation, substitution and recipe generation. The manuscript already acknowledges this limitation clearly.</w:t>
      </w:r>
    </w:p>
    <w:p>
      <w:pPr>
        <w:spacing w:after="120" w:line="264"/>
        <w:jc w:val="both"/>
      </w:pPr>
      <w:r>
        <w:rPr>
          <w:rFonts w:ascii="Times New Roman" w:cs="Times New Roman" w:eastAsia="Times New Roman" w:hAnsi="Times New Roman"/>
          <w:sz w:val="22"/>
          <w:szCs w:val="22"/>
        </w:rPr>
        <w:t xml:space="preserve">We agree that this should not remain future work, and it has been implemented. The patient’s exclusion list (ten predefined groups: dairy, egg, fish, shellfish, peanut, tree nuts, sesame, gluten, soy, and no meat or fish; plus free-text terms) is now a deterministic hard filter applied first, before portion computation, substitution and recipe generation (Section 2.7). An excluded ingredient receives the label Excluded and a ceiling of zero, is never passed to the portion engine or named in the recipe prompt, and is removed from the substitute list of every other ingredient. The verifier then re-checks the generated text against the exclusion list, so an excluded term causes rejection. The interface shows the reason an ingredient was excluded (Figure 13), and the earlier statement that exclusions were prompt-level has been removed.</w:t>
      </w:r>
    </w:p>
    <w:p>
      <w:pPr>
        <w:spacing w:after="120" w:line="264"/>
        <w:jc w:val="both"/>
      </w:pPr>
      <w:r>
        <w:rPr>
          <w:rFonts w:ascii="Times New Roman" w:cs="Times New Roman" w:eastAsia="Times New Roman" w:hAnsi="Times New Roman"/>
          <w:sz w:val="22"/>
          <w:szCs w:val="22"/>
        </w:rPr>
        <w:t xml:space="preserve">The limits remain and are stated in Section 2.7 and in the Discussion (Section 4, Limitations). The grouping is a keyword and category map over the ingredient names, not a validated allergen database; it is not exhaustive, has not been reviewed by an allergy specialist or evaluated against a reference allergen list, and has been tested only with unit tests. Outputs still require review by a clinician or dietitian who knows the patient.</w:t>
      </w:r>
    </w:p>
    <w:p>
      <w:pPr>
        <w:keepNext/>
        <w:spacing w:after="120" w:before="200" w:line="264"/>
        <w:jc w:val="both"/>
      </w:pPr>
      <w:r>
        <w:rPr>
          <w:rFonts w:ascii="Times New Roman" w:cs="Times New Roman" w:eastAsia="Times New Roman" w:hAnsi="Times New Roman"/>
          <w:b/>
          <w:bCs/>
          <w:sz w:val="22"/>
          <w:szCs w:val="22"/>
        </w:rPr>
        <w:t xml:space="preserve">Point 12. The computer-vision component needs quantitative evaluation or a clearer scope limitation. Ingredient detection is part of the claimed end-to-end architecture, but the manuscript mainly describes its operational domain and manual IFCT fallback. Detection accuracy, precision/recall, ingredient coverage and failure rate for the intended Indian-food domain are not presented as a major validation experiment. Either provide an appropriate quantitative evaluation of this component or explicitly separate it from the validated scientific contribution and frame it as a prototype input interface. The manual fallback is useful but does not validate the detector.</w:t>
      </w:r>
    </w:p>
    <w:p>
      <w:pPr>
        <w:spacing w:after="120" w:line="264"/>
        <w:jc w:val="both"/>
      </w:pPr>
      <w:r>
        <w:rPr>
          <w:rFonts w:ascii="Times New Roman" w:cs="Times New Roman" w:eastAsia="Times New Roman" w:hAnsi="Times New Roman"/>
          <w:sz w:val="22"/>
          <w:szCs w:val="22"/>
        </w:rPr>
        <w:t xml:space="preserve">We took the second option. The detector is described as a prototype input interface and as outside the validated scientific contribution in the Abstract, Section 2.1, Section 3.9 (Figure 8) and the Discussion (Section 4). We state that its precision, recall, ingredient coverage and failure rate on the intended Indian-ingredient domain were not measured, that any statement about its behaviour on regional staples is an expectation from the literature and not a finding of this study, and that the manual IFCT search fallback does not validate the detector. The interface says the same at the point of use. We did not perform a quantitative evaluation.</w:t>
      </w:r>
    </w:p>
    <w:p>
      <w:pPr>
        <w:keepNext/>
        <w:spacing w:after="120" w:before="200" w:line="264"/>
        <w:jc w:val="both"/>
      </w:pPr>
      <w:r>
        <w:rPr>
          <w:rFonts w:ascii="Times New Roman" w:cs="Times New Roman" w:eastAsia="Times New Roman" w:hAnsi="Times New Roman"/>
          <w:b/>
          <w:bCs/>
          <w:sz w:val="22"/>
          <w:szCs w:val="22"/>
        </w:rPr>
        <w:t xml:space="preserve">Point 13. The data-residency wording is now substantially improved, but the complete system is not local. Laboratory values and clinical inference remain local, while refrigerator images are transmitted to Roboflow and derived comorbidity/gram-limit information is transmitted to Groq. The revised manuscript correctly calls this a data-residency architecture rather than privacy-preserving learning and acknowledges the absence of a formal compliance audit. Please ensure that no residual wording elsewhere implies complete offline operation, formal DPDPA compliance, or demonstrated privacy/security guarantees.</w:t>
      </w:r>
    </w:p>
    <w:p>
      <w:pPr>
        <w:spacing w:after="120" w:line="264"/>
        <w:jc w:val="both"/>
      </w:pPr>
      <w:r>
        <w:rPr>
          <w:rFonts w:ascii="Times New Roman" w:cs="Times New Roman" w:eastAsia="Times New Roman" w:hAnsi="Times New Roman"/>
          <w:sz w:val="22"/>
          <w:szCs w:val="22"/>
        </w:rPr>
        <w:t>We searched the manuscript, the repository documentation and the interface for residual wording. Nothing now implies complete offline operation, formal DPDPA compliance or demonstrated privacy or security guarantees. Sections 1.1, 2.1, 4 and 5 state that laboratory values and clinical inference are local; that the refrigerator image goes to Roboflow and the comorbidity flags, the permitted ingredients with their gram ceilings and the names of ingredients to avoid go to Groq (the exclusion list itself and the laboratory values stay local); that the system is therefore not fully local or offline; that the design is motivated by, and has not been assessed against, the DPDPA; and that no formal privacy, security or regulatory audit has been performed. A badge reading “DPDPA 2023 Compliant” in the legacy front end was removed. The new architecture diagram (Figure 1) shows the local boundary and exactly what crosses it, and the live demonstration is described as not being the local-residency deployment (Declarations, “Live Demo Application”).</w:t>
      </w:r>
    </w:p>
    <w:p>
      <w:pPr>
        <w:keepNext/>
        <w:spacing w:after="120" w:before="200" w:line="264"/>
        <w:jc w:val="both"/>
      </w:pPr>
      <w:r>
        <w:rPr>
          <w:rFonts w:ascii="Times New Roman" w:cs="Times New Roman" w:eastAsia="Times New Roman" w:hAnsi="Times New Roman"/>
          <w:b/>
          <w:bCs/>
          <w:sz w:val="22"/>
          <w:szCs w:val="22"/>
        </w:rPr>
        <w:t xml:space="preserve">Point 14. The deployment-footprint experiment is useful but should be interpreted appropriately. The four networks and preprocessing metadata occupy only 0.93 MB and inference averages 48.4 ms on the reported CPU setup, which supports computational practicality. However, the approximately 661 MB working memory requirement and absence of testing on low-resource clinic/single-board hardware mean that broad rural or resource-constrained deployability has not yet been demonstrated. The revised response appropriately recognizes this distinction.</w:t>
      </w:r>
    </w:p>
    <w:p>
      <w:pPr>
        <w:spacing w:after="120" w:line="264"/>
        <w:jc w:val="both"/>
      </w:pPr>
      <w:r>
        <w:rPr>
          <w:rFonts w:ascii="Times New Roman" w:cs="Times New Roman" w:eastAsia="Times New Roman" w:hAnsi="Times New Roman"/>
          <w:sz w:val="22"/>
          <w:szCs w:val="22"/>
        </w:rPr>
        <w:t xml:space="preserve">We agree. Section 3.7 states that these figures support computational practicality on a modern laptop CPU and do not demonstrate deployability in rural or resource-constrained settings, that the binding requirement is the roughly 661 MB working set of the Python and PyTorch runtime (so about 1 GB of usable memory is a lower bound for this implementation), and that single-board and low-specification hardware have not been tested. The Conclusion (Section 5) repeats this. We also added a full-pipeline benchmark (risk stratification with attention masks, budget derivation, portion computation, IFCT lookup and substitutes; median 65 ms per patient, 95th percentile 75 ms, 99th percentile 88 ms; 300 single-patient calls after warm-up on one CPU thread, excluding the web server and external services). It was measured on an Intel Core i7-13700H with 16 GB of RAM, a different machine from the i7-12700H used for the inference figures above, and is reported separately for that reason.</w:t>
      </w:r>
    </w:p>
    <w:p>
      <w:pPr>
        <w:keepNext/>
        <w:spacing w:after="120" w:before="200" w:line="264"/>
        <w:jc w:val="both"/>
      </w:pPr>
      <w:r>
        <w:rPr>
          <w:rFonts w:ascii="Times New Roman" w:cs="Times New Roman" w:eastAsia="Times New Roman" w:hAnsi="Times New Roman"/>
          <w:b/>
          <w:bCs/>
          <w:sz w:val="22"/>
          <w:szCs w:val="22"/>
        </w:rPr>
        <w:t xml:space="preserve">Point 15. The manuscript should explicitly separate technical validation from clinical validation in its conclusion. The revised study now provides credible evidence for (a) retrospective prediction of four proxy outcomes, (b) statistical improvement over the deterministic guideline baseline, (c) calibration and robustness analyses, (d) operation of the computational constraint mechanism, and (e) preliminary LLM adherence. It does not yet establish that the recommended portions improve patient outcomes, match dietitian recommendations, or are clinically safe for unsupervised use. The proposed three-stage validation programme is appropriate and should be highlighted as necessary future validation rather than simply an extension of an already clinically validated system.</w:t>
      </w:r>
    </w:p>
    <w:p>
      <w:pPr>
        <w:spacing w:after="120" w:line="264"/>
        <w:jc w:val="both"/>
      </w:pPr>
      <w:r>
        <w:rPr>
          <w:rFonts w:ascii="Times New Roman" w:cs="Times New Roman" w:eastAsia="Times New Roman" w:hAnsi="Times New Roman"/>
          <w:sz w:val="22"/>
          <w:szCs w:val="22"/>
        </w:rPr>
        <w:t xml:space="preserve">Section 5 (Conclusion) is organised exactly this way: an “Established (technical validation)” paragraph listing items (a) to (e), and a “Not established (clinical validation)” paragraph stating that the work does not show that the ceilings are patient-specific safe limits, match dietitian recommendations, improve outcomes or are safe for unsupervised use. It states that the three-stage validation programme and the minimum evidence set out in the Discussion (Section 4) are necessary future work, not an extension of an already validated system. Item (b) now notes that a gradient-boosting model scored slightly higher still.</w:t>
      </w:r>
    </w:p>
    <w:p>
      <w:pPr>
        <w:pStyle w:val="Heading1"/>
        <w:keepNext/>
        <w:pBdr>
          <w:bottom w:val="single" w:color="000000" w:sz="6" w:space="4"/>
        </w:pBdr>
        <w:spacing w:after="160" w:before="360"/>
      </w:pPr>
      <w:r>
        <w:rPr>
          <w:rFonts w:ascii="Times New Roman" w:cs="Times New Roman" w:eastAsia="Times New Roman" w:hAnsi="Times New Roman"/>
          <w:b/>
          <w:bCs/>
          <w:sz w:val="28"/>
          <w:szCs w:val="28"/>
        </w:rPr>
        <w:t xml:space="preserve">Reviewer 3</w:t>
      </w:r>
    </w:p>
    <w:p>
      <w:pPr>
        <w:spacing w:after="120" w:line="264"/>
        <w:jc w:val="both"/>
      </w:pPr>
      <w:r>
        <w:rPr>
          <w:rFonts w:ascii="Times New Roman" w:cs="Times New Roman" w:eastAsia="Times New Roman" w:hAnsi="Times New Roman"/>
          <w:sz w:val="22"/>
          <w:szCs w:val="22"/>
        </w:rPr>
        <w:t xml:space="preserve">We thank Reviewer 3 for three focused comments, each of which sharpened what the manuscript can and cannot claim.</w:t>
      </w:r>
    </w:p>
    <w:p>
      <w:pPr>
        <w:keepNext/>
        <w:spacing w:after="120" w:before="200" w:line="264"/>
        <w:jc w:val="both"/>
      </w:pPr>
      <w:r>
        <w:rPr>
          <w:rFonts w:ascii="Times New Roman" w:cs="Times New Roman" w:eastAsia="Times New Roman" w:hAnsi="Times New Roman"/>
          <w:b/>
          <w:bCs/>
          <w:sz w:val="22"/>
          <w:szCs w:val="22"/>
        </w:rPr>
        <w:t xml:space="preserve">Point 1. The corrected performance is modest and its clinical meaning needs to be stated. A macro-F1 of 0.417 is a weak classifier in absolute terms, so clarify what level of per-nutrient sensitivity accuracy is needed for the downstream portion recommendations to be safe, and whether 0.417 clears that bar or whether the rules engine is carrying the safety guarantee.</w:t>
      </w:r>
    </w:p>
    <w:p>
      <w:pPr>
        <w:spacing w:after="120" w:line="264"/>
        <w:jc w:val="both"/>
      </w:pPr>
      <w:r>
        <w:rPr>
          <w:rFonts w:ascii="Times New Roman" w:cs="Times New Roman" w:eastAsia="Times New Roman" w:hAnsi="Times New Roman"/>
          <w:sz w:val="22"/>
          <w:szCs w:val="22"/>
        </w:rPr>
        <w:t xml:space="preserve">We cannot state a validated accuracy threshold for safe portions, and the manuscript now says so (Section 3.1). Such a threshold can only be set against dietitian-labelled or outcome-linked data, which this study does not have. For the same reason we do not claim that 0.417 clears a safety bar, and we do not claim that the rules engine carries a safety guarantee either: neither the classifier nor the rule baseline has been shown to make the ceilings safe.</w:t>
      </w:r>
    </w:p>
    <w:p>
      <w:pPr>
        <w:spacing w:after="120" w:line="264"/>
        <w:jc w:val="both"/>
      </w:pPr>
      <w:r>
        <w:rPr>
          <w:rFonts w:ascii="Times New Roman" w:cs="Times New Roman" w:eastAsia="Times New Roman" w:hAnsi="Times New Roman"/>
          <w:sz w:val="22"/>
          <w:szCs w:val="22"/>
        </w:rPr>
        <w:t>What we can do is measure how much the classifier matters for the grams. In the portion engine the severity score scales the share of the remaining daily guideline budget available to an ingredient between a floor of 0.05 and an upper value of 0.42, so the guideline budget, not the classifier, sets the upper bound for any single ingredient; whether that bound is clinically safe is not established. The new Section 3.5 then quantifies the sensitivity. For the use-case patient, moving from severity 1 to severity 2 reduces each ingredient’s ceiling to 34–82% of its previous value, while the first tier step often changes nothing because many ingredients sit at the 300 g practical cap. On 3,000 test admissions across all 101 ingredients, and restricting to the 190,617 patient–ingredient pairs whose ceiling is set by a nutrient rather than by the cap, ceilings computed from TabNet’s severity fall within ±25% of ceilings computed from the observed outcome levels for 79.1% of pairs (Table 9), against 51.4% for the guideline-rule label and 43.3% for no personalisation. TabNet’s ceilings are also more often too permissive (19.4% of pairs, against 8.2% for the rules), because the rule labels are conservative. No pair was labelled Allowed where the observed-outcome ceiling was Avoid. The observed outcome is itself a proxy, so this analysis shows how classifier error propagates into grams and what the learned component adds; it does not show that either set of ceilings is safe.</w:t>
      </w:r>
    </w:p>
    <w:p>
      <w:pPr>
        <w:keepNext/>
        <w:spacing w:after="120" w:before="200" w:line="264"/>
        <w:jc w:val="both"/>
      </w:pPr>
      <w:r>
        <w:rPr>
          <w:rFonts w:ascii="Times New Roman" w:cs="Times New Roman" w:eastAsia="Times New Roman" w:hAnsi="Times New Roman"/>
          <w:b/>
          <w:bCs/>
          <w:sz w:val="22"/>
          <w:szCs w:val="22"/>
        </w:rPr>
        <w:t xml:space="preserve">Point 2. Since the learned classifier only modestly beats the rules, make explicit what the learned component adds in practice over the rules alone, for example on the uncertain or conflicting cases, which is where a learned model should earn its place.</w:t>
      </w:r>
    </w:p>
    <w:p>
      <w:pPr>
        <w:spacing w:after="120" w:line="264"/>
        <w:jc w:val="both"/>
      </w:pPr>
      <w:r>
        <w:rPr>
          <w:rFonts w:ascii="Times New Roman" w:cs="Times New Roman" w:eastAsia="Times New Roman" w:hAnsi="Times New Roman"/>
          <w:sz w:val="22"/>
          <w:szCs w:val="22"/>
        </w:rPr>
        <w:t xml:space="preserve">Section 3.3 (“Where the learned model adds value over the rules”) answers this directly, with patient-cluster bootstrap intervals (Table 8), in the strata where a learned model should earn its place. Its advantage is concentrated in two places: patients with a rule input within 10% of a guideline cut-off (macro-F1 difference +0.085 for the protein proxy and +0.235 for the carbohydrate proxy), and patients on whom TabNet and the rules disagree (+0.152 sodium, +0.161 potassium, +0.343 carbohydrate; on those cases TabNet alone is right far more often than the rules alone, for example 69% against 10% for carbohydrate). At the false-positive rate of the rules’ moderate-or-worse flag, TabNet also detects more eventual outcomes, with the largest gains for the high tier of the protein and carbohydrate proxies.</w:t>
      </w:r>
    </w:p>
    <w:p>
      <w:pPr>
        <w:spacing w:after="120" w:line="264"/>
        <w:jc w:val="both"/>
      </w:pPr>
      <w:r>
        <w:rPr>
          <w:rFonts w:ascii="Times New Roman" w:cs="Times New Roman" w:eastAsia="Times New Roman" w:hAnsi="Times New Roman"/>
          <w:sz w:val="22"/>
          <w:szCs w:val="22"/>
        </w:rPr>
        <w:t xml:space="preserve">The advantage is not uniform, and we report the exceptions. For the protein proxy TabNet is worse than the rules when the two disagree (the rules alone are right on 36% of those cases, TabNet alone on 24%), and for the sodium proxy it is worse among the third of patients where TabNet is most confident. The advantage is also not specific to TabNet: a gradient-boosting model degrades as gracefully as TabNet when laboratory inputs are removed and scores higher overall (mean macro-F1 0.437 vs 0.417; Section 3.1, Table 6). What TabNet contributes beyond the rules is therefore a continuous, calibrated risk estimate that avoids step-function behaviour at cut-offs, and a built-in attention-based attribution; not superior accuracy.</w:t>
      </w:r>
    </w:p>
    <w:p>
      <w:pPr>
        <w:keepNext/>
        <w:spacing w:after="120" w:before="200" w:line="264"/>
        <w:jc w:val="both"/>
      </w:pPr>
      <w:r>
        <w:rPr>
          <w:rFonts w:ascii="Times New Roman" w:cs="Times New Roman" w:eastAsia="Times New Roman" w:hAnsi="Times New Roman"/>
          <w:b/>
          <w:bCs/>
          <w:sz w:val="22"/>
          <w:szCs w:val="22"/>
        </w:rPr>
        <w:t xml:space="preserve">Point 3. The acknowledged lack of dietitian-labelled ground truth is the key limitation. State concretely what evaluation would be required before any clinical use, since the current targets are proxies.</w:t>
      </w:r>
    </w:p>
    <w:p>
      <w:pPr>
        <w:spacing w:after="120" w:line="264"/>
        <w:jc w:val="both"/>
      </w:pPr>
      <w:r>
        <w:rPr>
          <w:rFonts w:ascii="Times New Roman" w:cs="Times New Roman" w:eastAsia="Times New Roman" w:hAnsi="Times New Roman"/>
          <w:sz w:val="22"/>
          <w:szCs w:val="22"/>
        </w:rPr>
        <w:t xml:space="preserve">Section 4 (Discussion) now states this concretely in two places. “Planned validation” sets out three stages: a retrospective concordance study on an Indian cohort, passing laboratory panels and comorbidity flags from nephrology and diabetology outpatients through the pipeline and comparing the resulting tiers and ceilings with the diets independently prescribed by the attending dietitians; an expert panel review of attribution fidelity and of the acceptability of the generated quantities; and, only if those support it, a prospective study alongside standard dietitian care, with ethics approval required for the second and third stages and none yet initiated. “Minimum evidence before any clinical use” lists what is required: dietitian-labelled ground truth in which independent dietitians prescribe restrictions or rate the ceilings (appropriate, too permissive, too restrictive) blind to the system’s output, with agreement reported by weighted κ or intraclass correlation and over-permissive errors, the clinically dangerous direction, reported separately; acceptance criteria fixed in advance; an external Indian cohort for recalibration and evaluation; evidence linking recommended portions to patient outcomes prospectively; large-scale evaluation of the verifier and exclusions against a reference allergen list; and a formal safety, privacy and regulatory assessment. An operational protocol for the blinded rating stage, with a rating-sheet generator, accompanies the code. Until then the outputs are research-prototype outputs reviewed by a clinician or dietitian, not clinical recommendations.</w:t>
      </w:r>
    </w:p>
    <w:p>
      <w:pPr>
        <w:spacing w:after="120" w:before="280"/>
        <w:jc w:val="both"/>
      </w:pPr>
      <w:r>
        <w:rPr>
          <w:rFonts w:ascii="Times New Roman" w:cs="Times New Roman" w:eastAsia="Times New Roman" w:hAnsi="Times New Roman"/>
          <w:sz w:val="22"/>
          <w:szCs w:val="22"/>
        </w:rPr>
        <w:t xml:space="preserve">All numbers added in this revision were regenerated by scripts in the code repository from the stored model and evaluation artifacts. We are grateful to the reviewers; the manuscript is more modest, and in places less flattering to our own model, than before, and we believe it is considerably more defensible.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(Revision 2)</dc:title>
  <dc:creator>NutriBiteBot authors</dc:creator>
  <cp:lastModifiedBy>Un-named</cp:lastModifiedBy>
  <cp:revision>1</cp:revision>
  <dcterms:created xsi:type="dcterms:W3CDTF">2026-10-21T07:40:20.823Z</dcterms:created>
  <dcterms:modified xsi:type="dcterms:W3CDTF">2026-10-21T07:40:20.824Z</dcterms:modified>
</cp:coreProperties>
</file>

<file path=docProps/custom.xml><?xml version="1.0" encoding="utf-8"?>
<Properties xmlns="http://schemas.openxmlformats.org/officeDocument/2006/custom-properties" xmlns:vt="http://schemas.openxmlformats.org/officeDocument/2006/docPropsVTypes"/>
</file>