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 Nearest Neighbors Regression</w:t>
      </w:r>
    </w:p>
    <w:p>
      <w:pPr>
        <w:pStyle w:val="Author"/>
      </w:pPr>
      <w:r>
        <w:t xml:space="preserve">Rafiq Islam</w:t>
      </w:r>
    </w:p>
    <w:p>
      <w:pPr>
        <w:pStyle w:val="Date"/>
      </w:pPr>
      <w:r>
        <w:t xml:space="preserve">2024-08-29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endChr m:val=")"/>
            <m:sep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endChr m:val=")"/>
            <m:sep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7420</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1300000</w:t>
                  </w:r>
                </w:p>
              </w:tc>
              <w:tc>
                <w:tcPr/>
                <w:p>
                  <w:pPr>
                    <w:pStyle w:val="Compact"/>
                    <w:jc w:val="center"/>
                  </w:pPr>
                  <w:r>
                    <w:t xml:space="preserve">1</w:t>
                  </w:r>
                </w:p>
              </w:tc>
            </w:tr>
            <w:tr>
              <w:tc>
                <w:tcPr/>
                <w:p>
                  <w:pPr>
                    <w:pStyle w:val="Compact"/>
                    <w:jc w:val="center"/>
                  </w:pPr>
                  <w:r>
                    <w:t xml:space="preserve">7520</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1450000</w:t>
                  </w:r>
                </w:p>
              </w:tc>
              <w:tc>
                <w:tcPr/>
                <w:p>
                  <w:pPr>
                    <w:pStyle w:val="Compact"/>
                    <w:jc w:val="center"/>
                  </w:pPr>
                  <w:r>
                    <w:t xml:space="preserve">1</w:t>
                  </w:r>
                </w:p>
              </w:tc>
            </w:tr>
            <w:tr>
              <w:tc>
                <w:tcPr/>
                <w:p>
                  <w:pPr>
                    <w:pStyle w:val="Compact"/>
                    <w:jc w:val="center"/>
                  </w:pPr>
                  <w:r>
                    <w:t xml:space="preserve">6420</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1110000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1363400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1263400</w:t>
                  </w:r>
                </w:p>
              </w:tc>
              <w:tc>
                <w:tcPr/>
                <w:p>
                  <w:pPr>
                    <w:pStyle w:val="Compact"/>
                    <w:jc w:val="center"/>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endChr m:val=")"/>
            <m:sep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endChr m:val=")"/>
            <m:sep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endChr m:val=")"/>
            <m:sep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endChr m:val=")"/>
            <m:sep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endChr m:val=")"/>
            <m:sep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1.213</w:t>
                  </w:r>
                </w:p>
              </w:tc>
              <w:tc>
                <w:tcPr/>
                <w:p>
                  <w:pPr>
                    <w:pStyle w:val="Compact"/>
                  </w:pPr>
                  <w:r>
                    <w:t xml:space="preserve">1.414</w:t>
                  </w:r>
                </w:p>
              </w:tc>
              <w:tc>
                <w:tcPr/>
                <w:p>
                  <w:pPr>
                    <w:pStyle w:val="Compact"/>
                  </w:pPr>
                  <w:r>
                    <w:t xml:space="preserve">0.267</w:t>
                  </w:r>
                </w:p>
              </w:tc>
              <w:tc>
                <w:tcPr/>
                <w:p>
                  <w:pPr>
                    <w:pStyle w:val="Compact"/>
                  </w:pPr>
                  <w:r>
                    <w:t xml:space="preserve">0.730</w:t>
                  </w:r>
                </w:p>
              </w:tc>
              <w:tc>
                <w:tcPr/>
                <w:p>
                  <w:pPr>
                    <w:pStyle w:val="Compact"/>
                  </w:pPr>
                  <w:r>
                    <w:t xml:space="preserve">1300000</w:t>
                  </w:r>
                </w:p>
              </w:tc>
            </w:tr>
            <w:tr>
              <w:tc>
                <w:tcPr/>
                <w:p>
                  <w:pPr>
                    <w:pStyle w:val="Compact"/>
                  </w:pPr>
                  <w:r>
                    <w:t xml:space="preserve">1.336</w:t>
                  </w:r>
                </w:p>
              </w:tc>
              <w:tc>
                <w:tcPr/>
                <w:p>
                  <w:pPr>
                    <w:pStyle w:val="Compact"/>
                  </w:pPr>
                  <w:r>
                    <w:t xml:space="preserve">0.000</w:t>
                  </w:r>
                </w:p>
              </w:tc>
              <w:tc>
                <w:tcPr/>
                <w:p>
                  <w:pPr>
                    <w:pStyle w:val="Compact"/>
                  </w:pPr>
                  <w:r>
                    <w:t xml:space="preserve">1.603</w:t>
                  </w:r>
                </w:p>
              </w:tc>
              <w:tc>
                <w:tcPr/>
                <w:p>
                  <w:pPr>
                    <w:pStyle w:val="Compact"/>
                  </w:pPr>
                  <w:r>
                    <w:t xml:space="preserve">0.730</w:t>
                  </w:r>
                </w:p>
              </w:tc>
              <w:tc>
                <w:tcPr/>
                <w:p>
                  <w:pPr>
                    <w:pStyle w:val="Compact"/>
                  </w:pPr>
                  <w:r>
                    <w:t xml:space="preserve">1450000</w:t>
                  </w:r>
                </w:p>
              </w:tc>
            </w:tr>
            <w:tr>
              <w:tc>
                <w:tcPr/>
                <w:p>
                  <w:pPr>
                    <w:pStyle w:val="Compact"/>
                  </w:pPr>
                  <w:r>
                    <w:t xml:space="preserve">-0.026</w:t>
                  </w:r>
                </w:p>
              </w:tc>
              <w:tc>
                <w:tcPr/>
                <w:p>
                  <w:pPr>
                    <w:pStyle w:val="Compact"/>
                  </w:pPr>
                  <w:r>
                    <w:t xml:space="preserve">-1.414</w:t>
                  </w:r>
                </w:p>
              </w:tc>
              <w:tc>
                <w:tcPr/>
                <w:p>
                  <w:pPr>
                    <w:pStyle w:val="Compact"/>
                  </w:pPr>
                  <w:r>
                    <w:t xml:space="preserve">-1.336</w:t>
                  </w:r>
                </w:p>
              </w:tc>
              <w:tc>
                <w:tcPr/>
                <w:p>
                  <w:pPr>
                    <w:pStyle w:val="Compact"/>
                  </w:pPr>
                  <w:r>
                    <w:t xml:space="preserve">-1.095</w:t>
                  </w:r>
                </w:p>
              </w:tc>
              <w:tc>
                <w:tcPr/>
                <w:p>
                  <w:pPr>
                    <w:pStyle w:val="Compact"/>
                  </w:pPr>
                  <w:r>
                    <w:t xml:space="preserve">1110000</w:t>
                  </w:r>
                </w:p>
              </w:tc>
            </w:tr>
            <w:tr>
              <w:tc>
                <w:tcPr/>
                <w:p>
                  <w:pPr>
                    <w:pStyle w:val="Compact"/>
                  </w:pPr>
                  <w:r>
                    <w:t xml:space="preserve">-1.261</w:t>
                  </w:r>
                </w:p>
              </w:tc>
              <w:tc>
                <w:tcPr/>
                <w:p>
                  <w:pPr>
                    <w:pStyle w:val="Compact"/>
                  </w:pPr>
                  <w:r>
                    <w:t xml:space="preserve">0.000</w:t>
                  </w:r>
                </w:p>
              </w:tc>
              <w:tc>
                <w:tcPr/>
                <w:p>
                  <w:pPr>
                    <w:pStyle w:val="Compact"/>
                  </w:pPr>
                  <w:r>
                    <w:t xml:space="preserve">0.267</w:t>
                  </w:r>
                </w:p>
              </w:tc>
              <w:tc>
                <w:tcPr/>
                <w:p>
                  <w:pPr>
                    <w:pStyle w:val="Compact"/>
                  </w:pPr>
                  <w:r>
                    <w:t xml:space="preserve">-1.095</w:t>
                  </w:r>
                </w:p>
              </w:tc>
              <w:tc>
                <w:tcPr/>
                <w:p>
                  <w:pPr>
                    <w:pStyle w:val="Compact"/>
                  </w:pPr>
                  <w:r>
                    <w:t xml:space="preserve">1363400</w:t>
                  </w:r>
                </w:p>
              </w:tc>
            </w:tr>
            <w:tr>
              <w:tc>
                <w:tcPr/>
                <w:p>
                  <w:pPr>
                    <w:pStyle w:val="Compact"/>
                  </w:pPr>
                  <w:r>
                    <w:t xml:space="preserve">-1.261</w:t>
                  </w:r>
                </w:p>
              </w:tc>
              <w:tc>
                <w:tcPr/>
                <w:p>
                  <w:pPr>
                    <w:pStyle w:val="Compact"/>
                  </w:pPr>
                  <w:r>
                    <w:t xml:space="preserve">0.000</w:t>
                  </w:r>
                </w:p>
              </w:tc>
              <w:tc>
                <w:tcPr/>
                <w:p>
                  <w:pPr>
                    <w:pStyle w:val="Compact"/>
                  </w:pPr>
                  <w:r>
                    <w:t xml:space="preserve">-1.336</w:t>
                  </w:r>
                </w:p>
              </w:tc>
              <w:tc>
                <w:tcPr/>
                <w:p>
                  <w:pPr>
                    <w:pStyle w:val="Compact"/>
                  </w:pPr>
                  <w:r>
                    <w:t xml:space="preserve">0.730</w:t>
                  </w:r>
                </w:p>
              </w:tc>
              <w:tc>
                <w:tcPr/>
                <w:p>
                  <w:pPr>
                    <w:pStyle w:val="Compac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-1.266</w:t>
                  </w:r>
                </w:p>
              </w:tc>
              <w:tc>
                <w:tcPr/>
                <w:p>
                  <w:pPr>
                    <w:pStyle w:val="Compact"/>
                  </w:pPr>
                  <w:r>
                    <w:t xml:space="preserve">0.000</w:t>
                  </w:r>
                </w:p>
              </w:tc>
              <w:tc>
                <w:tcPr/>
                <w:p>
                  <w:pPr>
                    <w:pStyle w:val="Compact"/>
                  </w:pPr>
                  <w:r>
                    <w:t xml:space="preserve">0.803</w:t>
                  </w:r>
                </w:p>
              </w:tc>
              <w:tc>
                <w:tcPr/>
                <w:p>
                  <w:pPr>
                    <w:pStyle w:val="Compact"/>
                  </w:pPr>
                  <w:r>
                    <w:t xml:space="preserve">0.730</w:t>
                  </w:r>
                </w:p>
              </w:tc>
              <w:tc>
                <w:tcPr/>
                <w:p>
                  <w:pPr>
                    <w:pStyle w:val="Compact"/>
                  </w:pPr>
                </w:p>
              </w:tc>
            </w:tr>
            <w:tr>
              <w:tc>
                <w:tcPr/>
                <w:p>
                  <w:pPr>
                    <w:pStyle w:val="Compact"/>
                  </w:pPr>
                  <w:r>
                    <w:t xml:space="preserve">0.854</w:t>
                  </w:r>
                </w:p>
              </w:tc>
              <w:tc>
                <w:tcPr/>
                <w:p>
                  <w:pPr>
                    <w:pStyle w:val="Compact"/>
                  </w:pPr>
                  <w:r>
                    <w:t xml:space="preserve">2.828</w:t>
                  </w:r>
                </w:p>
              </w:tc>
              <w:tc>
                <w:tcPr/>
                <w:p>
                  <w:pPr>
                    <w:pStyle w:val="Compact"/>
                  </w:pPr>
                  <w:r>
                    <w:t xml:space="preserve">3.876</w:t>
                  </w:r>
                </w:p>
              </w:tc>
              <w:tc>
                <w:tcPr/>
                <w:p>
                  <w:pPr>
                    <w:pStyle w:val="Compac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NOX</w:t>
            </w:r>
          </w:p>
        </w:tc>
        <w:tc>
          <w:tcPr/>
          <w:p>
            <w:pPr>
              <w:pStyle w:val="Compact"/>
            </w:pPr>
            <w:r>
              <w:t xml:space="preserve">RM</w:t>
            </w:r>
          </w:p>
        </w:tc>
        <w:tc>
          <w:tcPr/>
          <w:p>
            <w:pPr>
              <w:pStyle w:val="Compact"/>
            </w:pPr>
            <w:r>
              <w:t xml:space="preserve">DIS</w:t>
            </w:r>
          </w:p>
        </w:tc>
        <w:tc>
          <w:tcPr/>
          <w:p>
            <w:pPr>
              <w:pStyle w:val="Compact"/>
            </w:pPr>
            <w:r>
              <w:t xml:space="preserve">RAD</w:t>
            </w:r>
          </w:p>
        </w:tc>
        <w:tc>
          <w:tcPr/>
          <w:p>
            <w:pPr>
              <w:pStyle w:val="Compact"/>
            </w:pPr>
            <w:r>
              <w:t xml:space="preserve">TAX</w:t>
            </w:r>
          </w:p>
        </w:tc>
        <w:tc>
          <w:tcPr/>
          <w:p>
            <w:pPr>
              <w:pStyle w:val="Compact"/>
            </w:pPr>
            <w:r>
              <w:t xml:space="preserve">PTRATIO</w:t>
            </w:r>
          </w:p>
        </w:tc>
        <w:tc>
          <w:tcPr/>
          <w:p>
            <w:pPr>
              <w:pStyle w:val="Compact"/>
            </w:pPr>
            <w:r>
              <w:t xml:space="preserve">B</w:t>
            </w:r>
          </w:p>
        </w:tc>
        <w:tc>
          <w:tcPr/>
          <w:p>
            <w:pPr>
              <w:pStyle w:val="Compact"/>
            </w:pPr>
            <w:r>
              <w:t xml:space="preserve">MEDV</w:t>
            </w:r>
          </w:p>
        </w:tc>
      </w:tr>
      <w:tr>
        <w:tc>
          <w:tcPr/>
          <w:p>
            <w:pPr>
              <w:pStyle w:val="Compact"/>
            </w:pPr>
            <w:r>
              <w:t xml:space="preserve">0</w:t>
            </w:r>
          </w:p>
        </w:tc>
        <w:tc>
          <w:tcPr/>
          <w:p>
            <w:pPr>
              <w:pStyle w:val="Compact"/>
            </w:pPr>
            <w:r>
              <w:t xml:space="preserve">0.538</w:t>
            </w:r>
          </w:p>
        </w:tc>
        <w:tc>
          <w:tcPr/>
          <w:p>
            <w:pPr>
              <w:pStyle w:val="Compact"/>
            </w:pPr>
            <w:r>
              <w:t xml:space="preserve">6.575</w:t>
            </w:r>
          </w:p>
        </w:tc>
        <w:tc>
          <w:tcPr/>
          <w:p>
            <w:pPr>
              <w:pStyle w:val="Compact"/>
            </w:pPr>
            <w:r>
              <w:t xml:space="preserve">4.0900</w:t>
            </w:r>
          </w:p>
        </w:tc>
        <w:tc>
          <w:tcPr/>
          <w:p>
            <w:pPr>
              <w:pStyle w:val="Compact"/>
            </w:pPr>
            <w:r>
              <w:t xml:space="preserve">1</w:t>
            </w:r>
          </w:p>
        </w:tc>
        <w:tc>
          <w:tcPr/>
          <w:p>
            <w:pPr>
              <w:pStyle w:val="Compact"/>
            </w:pPr>
            <w:r>
              <w:t xml:space="preserve">296</w:t>
            </w:r>
          </w:p>
        </w:tc>
        <w:tc>
          <w:tcPr/>
          <w:p>
            <w:pPr>
              <w:pStyle w:val="Compact"/>
            </w:pPr>
            <w:r>
              <w:t xml:space="preserve">15.3</w:t>
            </w:r>
          </w:p>
        </w:tc>
        <w:tc>
          <w:tcPr/>
          <w:p>
            <w:pPr>
              <w:pStyle w:val="Compact"/>
            </w:pPr>
            <w:r>
              <w:t xml:space="preserve">396.90</w:t>
            </w:r>
          </w:p>
        </w:tc>
        <w:tc>
          <w:tcPr/>
          <w:p>
            <w:pPr>
              <w:pStyle w:val="Compact"/>
            </w:pPr>
            <w:r>
              <w:t xml:space="preserve">24.0</w:t>
            </w:r>
          </w:p>
        </w:tc>
      </w:tr>
      <w:tr>
        <w:tc>
          <w:tcPr/>
          <w:p>
            <w:pPr>
              <w:pStyle w:val="Compact"/>
            </w:pPr>
            <w:r>
              <w:t xml:space="preserve">1</w:t>
            </w:r>
          </w:p>
        </w:tc>
        <w:tc>
          <w:tcPr/>
          <w:p>
            <w:pPr>
              <w:pStyle w:val="Compact"/>
            </w:pPr>
            <w:r>
              <w:t xml:space="preserve">0.469</w:t>
            </w:r>
          </w:p>
        </w:tc>
        <w:tc>
          <w:tcPr/>
          <w:p>
            <w:pPr>
              <w:pStyle w:val="Compact"/>
            </w:pPr>
            <w:r>
              <w:t xml:space="preserve">6.421</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396.90</w:t>
            </w:r>
          </w:p>
        </w:tc>
        <w:tc>
          <w:tcPr/>
          <w:p>
            <w:pPr>
              <w:pStyle w:val="Compact"/>
            </w:pPr>
            <w:r>
              <w:t xml:space="preserve">21.6</w:t>
            </w:r>
          </w:p>
        </w:tc>
      </w:tr>
      <w:tr>
        <w:tc>
          <w:tcPr/>
          <w:p>
            <w:pPr>
              <w:pStyle w:val="Compact"/>
            </w:pPr>
            <w:r>
              <w:t xml:space="preserve">2</w:t>
            </w:r>
          </w:p>
        </w:tc>
        <w:tc>
          <w:tcPr/>
          <w:p>
            <w:pPr>
              <w:pStyle w:val="Compact"/>
            </w:pPr>
            <w:r>
              <w:t xml:space="preserve">0.469</w:t>
            </w:r>
          </w:p>
        </w:tc>
        <w:tc>
          <w:tcPr/>
          <w:p>
            <w:pPr>
              <w:pStyle w:val="Compact"/>
            </w:pPr>
            <w:r>
              <w:t xml:space="preserve">7.185</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392.83</w:t>
            </w:r>
          </w:p>
        </w:tc>
        <w:tc>
          <w:tcPr/>
          <w:p>
            <w:pPr>
              <w:pStyle w:val="Compact"/>
            </w:pPr>
            <w:r>
              <w:t xml:space="preserve">34.7</w:t>
            </w:r>
          </w:p>
        </w:tc>
      </w:tr>
      <w:tr>
        <w:tc>
          <w:tcPr/>
          <w:p>
            <w:pPr>
              <w:pStyle w:val="Compact"/>
            </w:pPr>
            <w:r>
              <w:t xml:space="preserve">3</w:t>
            </w:r>
          </w:p>
        </w:tc>
        <w:tc>
          <w:tcPr/>
          <w:p>
            <w:pPr>
              <w:pStyle w:val="Compact"/>
            </w:pPr>
            <w:r>
              <w:t xml:space="preserve">0.458</w:t>
            </w:r>
          </w:p>
        </w:tc>
        <w:tc>
          <w:tcPr/>
          <w:p>
            <w:pPr>
              <w:pStyle w:val="Compact"/>
            </w:pPr>
            <w:r>
              <w:t xml:space="preserve">6.998</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394.63</w:t>
            </w:r>
          </w:p>
        </w:tc>
        <w:tc>
          <w:tcPr/>
          <w:p>
            <w:pPr>
              <w:pStyle w:val="Compact"/>
            </w:pPr>
            <w:r>
              <w:t xml:space="preserve">33.4</w:t>
            </w:r>
          </w:p>
        </w:tc>
      </w:tr>
      <w:tr>
        <w:tc>
          <w:tcPr/>
          <w:p>
            <w:pPr>
              <w:pStyle w:val="Compact"/>
            </w:pPr>
            <w:r>
              <w:t xml:space="preserve">4</w:t>
            </w:r>
          </w:p>
        </w:tc>
        <w:tc>
          <w:tcPr/>
          <w:p>
            <w:pPr>
              <w:pStyle w:val="Compact"/>
            </w:pPr>
            <w:r>
              <w:t xml:space="preserve">0.458</w:t>
            </w:r>
          </w:p>
        </w:tc>
        <w:tc>
          <w:tcPr/>
          <w:p>
            <w:pPr>
              <w:pStyle w:val="Compact"/>
            </w:pPr>
            <w:r>
              <w:t xml:space="preserve">7.147</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396.90</w:t>
            </w:r>
          </w:p>
        </w:tc>
        <w:tc>
          <w:tcPr/>
          <w:p>
            <w:pPr>
              <w:pStyle w:val="Compac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“curse of dimensionality”</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“Definitions, methods, and applications in interpretable machine learning.”</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“A few useful things to know about machine learning.”</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“The curse of dimensionality in data mining and time series prediction.”</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“Fast k-nearest neighbor search using GPU.”</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“Overfitting and Underfitting: A Visual Explanation.”</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9" w:name="fb-root"/>
    <w:bookmarkEnd w:id="39"/>
    <w:p>
      <w:pPr>
        <w:pStyle w:val="BodyText"/>
      </w:pPr>
      <w:r>
        <w:rPr>
          <w:b/>
          <w:bCs/>
        </w:rPr>
        <w:t xml:space="preserve">You may also like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2025-03-15T22:58:49Z</dcterms:created>
  <dcterms:modified xsi:type="dcterms:W3CDTF">2025-03-15T22:58:49Z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2024-08-29</vt:lpwstr>
  </property>
  <property fmtid="{D5CDD505-2E9C-101B-9397-08002B2CF9AE}" pid="9" name="google-analytics">
    <vt:lpwstr/>
  </property>
  <property fmtid="{D5CDD505-2E9C-101B-9397-08002B2CF9AE}" pid="10" name="header-includes">
    <vt:lpwstr/>
  </property>
  <property fmtid="{D5CDD505-2E9C-101B-9397-08002B2CF9AE}" pid="11" name="image">
    <vt:lpwstr>knn.jpeg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