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w:t>
      </w:r>
      <w:r>
        <w:t xml:space="preserve"> </w:t>
      </w:r>
      <w:r>
        <w:t xml:space="preserve">Bivariate,</w:t>
      </w:r>
      <w:r>
        <w:t xml:space="preserve"> </w:t>
      </w:r>
      <w:r>
        <w:t xml:space="preserve">and</w:t>
      </w:r>
      <w:r>
        <w:t xml:space="preserve"> </w:t>
      </w:r>
      <w:r>
        <w:t xml:space="preserve">Regression</w:t>
      </w:r>
      <w:r>
        <w:t xml:space="preserve"> </w:t>
      </w:r>
      <w:r>
        <w:t xml:space="preserve">Analysis</w:t>
      </w:r>
    </w:p>
    <w:p>
      <w:pPr>
        <w:pStyle w:val="Author"/>
      </w:pPr>
      <w:r>
        <w:t xml:space="preserve">Rafiq</w:t>
      </w:r>
      <w:r>
        <w:t xml:space="preserve"> </w:t>
      </w:r>
      <w:r>
        <w:t xml:space="preserve">Islam</w:t>
      </w:r>
    </w:p>
    <w:p>
      <w:pPr>
        <w:pStyle w:val="Date"/>
      </w:pPr>
      <w:r>
        <w:t xml:space="preserve">2024-12-18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
    <w:p>
      <w:pPr>
        <w:pStyle w:val="Heading2"/>
      </w:pPr>
      <w:r>
        <w:t xml:space="preserve">Correlation</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jc w:val="left"/>
            </w:pPr>
            <w:r>
              <w:t xml:space="preserve">Stock</w:t>
            </w:r>
          </w:p>
        </w:tc>
        <w:tc>
          <w:tcPr/>
          <w:p>
            <w:pPr>
              <w:pStyle w:val="Compact"/>
              <w:jc w:val="left"/>
            </w:pPr>
            <w:r>
              <w:t xml:space="preserve">Apple</w:t>
            </w:r>
          </w:p>
        </w:tc>
        <w:tc>
          <w:tcPr/>
          <w:p>
            <w:pPr>
              <w:pStyle w:val="Compact"/>
              <w:jc w:val="left"/>
            </w:pPr>
            <w:r>
              <w:t xml:space="preserve">Citi</w:t>
            </w:r>
          </w:p>
        </w:tc>
        <w:tc>
          <w:tcPr/>
          <w:p>
            <w:pPr>
              <w:pStyle w:val="Compact"/>
              <w:jc w:val="left"/>
            </w:pPr>
            <w:r>
              <w:t xml:space="preserve">MS</w:t>
            </w:r>
          </w:p>
        </w:tc>
        <w:tc>
          <w:tcPr/>
          <w:p>
            <w:pPr>
              <w:pStyle w:val="Compact"/>
              <w:jc w:val="left"/>
            </w:pPr>
            <w:r>
              <w:t xml:space="preserve">WF</w:t>
            </w:r>
          </w:p>
        </w:tc>
        <w:tc>
          <w:tcPr/>
          <w:p>
            <w:pPr>
              <w:pStyle w:val="Compact"/>
              <w:jc w:val="left"/>
            </w:pPr>
            <w:r>
              <w:t xml:space="preserve">GS</w:t>
            </w:r>
          </w:p>
        </w:tc>
        <w:tc>
          <w:tcPr/>
          <w:p>
            <w:pPr>
              <w:pStyle w:val="Compact"/>
              <w:jc w:val="left"/>
            </w:pPr>
            <w:r>
              <w:t xml:space="preserve">Google</w:t>
            </w:r>
          </w:p>
        </w:tc>
        <w:tc>
          <w:tcPr/>
          <w:p>
            <w:pPr>
              <w:pStyle w:val="Compact"/>
              <w:jc w:val="left"/>
            </w:pPr>
            <w:r>
              <w:t xml:space="preserve">Amazon</w:t>
            </w:r>
          </w:p>
        </w:tc>
        <w:tc>
          <w:tcPr/>
          <w:p>
            <w:pPr>
              <w:pStyle w:val="Compact"/>
              <w:jc w:val="left"/>
            </w:pPr>
            <w:r>
              <w:t xml:space="preserve">Tesla</w:t>
            </w:r>
          </w:p>
        </w:tc>
        <w:tc>
          <w:tcPr/>
          <w:p>
            <w:pPr>
              <w:pStyle w:val="Compact"/>
              <w:jc w:val="left"/>
            </w:pPr>
            <w:r>
              <w:t xml:space="preserve">Toyota</w:t>
            </w:r>
          </w:p>
        </w:tc>
        <w:tc>
          <w:tcPr/>
          <w:p>
            <w:pPr>
              <w:pStyle w:val="Compact"/>
              <w:jc w:val="left"/>
            </w:pPr>
            <w:r>
              <w:t xml:space="preserve">SPY</w:t>
            </w:r>
          </w:p>
        </w:tc>
      </w:tr>
      <w:tr>
        <w:tc>
          <w:tcPr/>
          <w:p>
            <w:pPr>
              <w:pStyle w:val="Compact"/>
              <w:jc w:val="left"/>
            </w:pPr>
            <w:r>
              <w:t xml:space="preserve">StockPrice</w:t>
            </w:r>
          </w:p>
        </w:tc>
        <w:tc>
          <w:tcPr/>
          <w:p>
            <w:pPr>
              <w:pStyle w:val="Compact"/>
              <w:jc w:val="left"/>
            </w:pPr>
            <w:r>
              <w:t xml:space="preserve">2.11</w:t>
            </w:r>
          </w:p>
        </w:tc>
        <w:tc>
          <w:tcPr/>
          <w:p>
            <w:pPr>
              <w:pStyle w:val="Compact"/>
              <w:jc w:val="left"/>
            </w:pPr>
            <w:r>
              <w:t xml:space="preserve">2.42</w:t>
            </w:r>
          </w:p>
        </w:tc>
        <w:tc>
          <w:tcPr/>
          <w:p>
            <w:pPr>
              <w:pStyle w:val="Compact"/>
              <w:jc w:val="left"/>
            </w:pPr>
            <w:r>
              <w:t xml:space="preserve">2.52</w:t>
            </w:r>
          </w:p>
        </w:tc>
        <w:tc>
          <w:tcPr/>
          <w:p>
            <w:pPr>
              <w:pStyle w:val="Compact"/>
              <w:jc w:val="left"/>
            </w:pPr>
            <w:r>
              <w:t xml:space="preserve">3.21</w:t>
            </w:r>
          </w:p>
        </w:tc>
        <w:tc>
          <w:tcPr/>
          <w:p>
            <w:pPr>
              <w:pStyle w:val="Compact"/>
              <w:jc w:val="left"/>
            </w:pPr>
            <w:r>
              <w:t xml:space="preserve">3.62</w:t>
            </w:r>
          </w:p>
        </w:tc>
        <w:tc>
          <w:tcPr/>
          <w:p>
            <w:pPr>
              <w:pStyle w:val="Compact"/>
              <w:jc w:val="left"/>
            </w:pPr>
            <w:r>
              <w:t xml:space="preserve">3.86</w:t>
            </w:r>
          </w:p>
        </w:tc>
        <w:tc>
          <w:tcPr/>
          <w:p>
            <w:pPr>
              <w:pStyle w:val="Compact"/>
              <w:jc w:val="left"/>
            </w:pPr>
            <w:r>
              <w:t xml:space="preserve">4.13</w:t>
            </w:r>
          </w:p>
        </w:tc>
        <w:tc>
          <w:tcPr/>
          <w:p>
            <w:pPr>
              <w:pStyle w:val="Compact"/>
              <w:jc w:val="left"/>
            </w:pPr>
            <w:r>
              <w:t xml:space="preserve">4.27</w:t>
            </w:r>
          </w:p>
        </w:tc>
        <w:tc>
          <w:tcPr/>
          <w:p>
            <w:pPr>
              <w:pStyle w:val="Compact"/>
              <w:jc w:val="left"/>
            </w:pPr>
            <w:r>
              <w:t xml:space="preserve">4.51</w:t>
            </w:r>
          </w:p>
        </w:tc>
        <w:tc>
          <w:tcPr/>
          <w:p>
            <w:pPr>
              <w:pStyle w:val="Compact"/>
              <w:jc w:val="left"/>
            </w:pPr>
            <w:r>
              <w:t xml:space="preserve">5.01</w:t>
            </w:r>
          </w:p>
        </w:tc>
      </w:tr>
      <w:tr>
        <w:tc>
          <w:tcPr/>
          <w:p>
            <w:pPr>
              <w:pStyle w:val="Compact"/>
              <w:jc w:val="left"/>
            </w:pPr>
            <w:r>
              <w:t xml:space="preserve">Portfolio</w:t>
            </w:r>
          </w:p>
        </w:tc>
        <w:tc>
          <w:tcPr/>
          <w:p>
            <w:pPr>
              <w:pStyle w:val="Compact"/>
              <w:jc w:val="left"/>
            </w:pPr>
            <w:r>
              <w:t xml:space="preserve">2.12</w:t>
            </w:r>
          </w:p>
        </w:tc>
        <w:tc>
          <w:tcPr/>
          <w:p>
            <w:pPr>
              <w:pStyle w:val="Compact"/>
              <w:jc w:val="left"/>
            </w:pPr>
            <w:r>
              <w:t xml:space="preserve">2.16</w:t>
            </w:r>
          </w:p>
        </w:tc>
        <w:tc>
          <w:tcPr/>
          <w:p>
            <w:pPr>
              <w:pStyle w:val="Compact"/>
              <w:jc w:val="left"/>
            </w:pPr>
            <w:r>
              <w:t xml:space="preserve">2.51</w:t>
            </w:r>
          </w:p>
        </w:tc>
        <w:tc>
          <w:tcPr/>
          <w:p>
            <w:pPr>
              <w:pStyle w:val="Compact"/>
              <w:jc w:val="left"/>
            </w:pPr>
            <w:r>
              <w:t xml:space="preserve">2.65</w:t>
            </w:r>
          </w:p>
        </w:tc>
        <w:tc>
          <w:tcPr/>
          <w:p>
            <w:pPr>
              <w:pStyle w:val="Compact"/>
              <w:jc w:val="left"/>
            </w:pPr>
            <w:r>
              <w:t xml:space="preserve">3.62</w:t>
            </w:r>
          </w:p>
        </w:tc>
        <w:tc>
          <w:tcPr/>
          <w:p>
            <w:pPr>
              <w:pStyle w:val="Compact"/>
              <w:jc w:val="left"/>
            </w:pPr>
            <w:r>
              <w:t xml:space="preserve">3.15</w:t>
            </w:r>
          </w:p>
        </w:tc>
        <w:tc>
          <w:tcPr/>
          <w:p>
            <w:pPr>
              <w:pStyle w:val="Compact"/>
              <w:jc w:val="left"/>
            </w:pPr>
            <w:r>
              <w:t xml:space="preserve">4.32</w:t>
            </w:r>
          </w:p>
        </w:tc>
        <w:tc>
          <w:tcPr/>
          <w:p>
            <w:pPr>
              <w:pStyle w:val="Compact"/>
              <w:jc w:val="left"/>
            </w:pPr>
            <w:r>
              <w:t xml:space="preserve">3.31</w:t>
            </w:r>
          </w:p>
        </w:tc>
        <w:tc>
          <w:tcPr/>
          <w:p>
            <w:pPr>
              <w:pStyle w:val="Compact"/>
              <w:jc w:val="left"/>
            </w:pPr>
            <w:r>
              <w:t xml:space="preserve">4.18</w:t>
            </w:r>
          </w:p>
        </w:tc>
        <w:tc>
          <w:tcPr/>
          <w:p>
            <w:pPr>
              <w:pStyle w:val="Compact"/>
              <w:jc w:val="lef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29100" cy="3438525"/>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29100" cy="3438525"/>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jc w:val="left"/>
            </w:pPr>
            <w:r>
              <w:t xml:space="preserve">Value</w:t>
            </w:r>
          </w:p>
        </w:tc>
        <w:tc>
          <w:tcPr/>
          <w:p>
            <w:pPr>
              <w:pStyle w:val="Compact"/>
              <w:jc w:val="left"/>
            </w:pPr>
            <w:r>
              <w:t xml:space="preserve">Meaning</w:t>
            </w:r>
          </w:p>
        </w:tc>
      </w:tr>
      <w:tr>
        <w:tc>
          <w:tcPr/>
          <w:p>
            <w:pPr>
              <w:pStyle w:val="Compact"/>
              <w:jc w:val="left"/>
            </w:pPr>
            <m:oMath>
              <m:r>
                <m:t>r</m:t>
              </m:r>
              <m:r>
                <m:rPr>
                  <m:sty m:val="p"/>
                </m:rPr>
                <m:t>=</m:t>
              </m:r>
              <m:r>
                <m:t>1</m:t>
              </m:r>
            </m:oMath>
          </w:p>
        </w:tc>
        <w:tc>
          <w:tcPr/>
          <w:p>
            <w:pPr>
              <w:pStyle w:val="Compact"/>
              <w:jc w:val="left"/>
            </w:pPr>
            <w:r>
              <w:t xml:space="preserve">The two variables move together in the same direction in a perfect linear relationship.</w:t>
            </w:r>
          </w:p>
        </w:tc>
      </w:tr>
      <w:tr>
        <w:tc>
          <w:tcPr/>
          <w:p>
            <w:pPr>
              <w:pStyle w:val="Compact"/>
              <w:jc w:val="left"/>
            </w:pPr>
            <m:oMath>
              <m:r>
                <m:t>0</m:t>
              </m:r>
              <m:r>
                <m:rPr>
                  <m:sty m:val="p"/>
                </m:rPr>
                <m:t>&lt;</m:t>
              </m:r>
              <m:r>
                <m:t>r</m:t>
              </m:r>
              <m:r>
                <m:rPr>
                  <m:sty m:val="p"/>
                </m:rPr>
                <m:t>&lt;</m:t>
              </m:r>
              <m:r>
                <m:t>1</m:t>
              </m:r>
            </m:oMath>
          </w:p>
        </w:tc>
        <w:tc>
          <w:tcPr/>
          <w:p>
            <w:pPr>
              <w:pStyle w:val="Compact"/>
              <w:jc w:val="left"/>
            </w:pPr>
            <w:r>
              <w:t xml:space="preserve">The two variables tend to move together in the same direction but there is NOT a direct relationship.</w:t>
            </w:r>
          </w:p>
        </w:tc>
      </w:tr>
      <w:tr>
        <w:tc>
          <w:tcPr/>
          <w:p>
            <w:pPr>
              <w:pStyle w:val="Compact"/>
              <w:jc w:val="left"/>
            </w:pPr>
            <m:oMath>
              <m:r>
                <m:t>r</m:t>
              </m:r>
              <m:r>
                <m:rPr>
                  <m:sty m:val="p"/>
                </m:rPr>
                <m:t>=</m:t>
              </m:r>
              <m:r>
                <m:t>0</m:t>
              </m:r>
            </m:oMath>
          </w:p>
        </w:tc>
        <w:tc>
          <w:tcPr/>
          <w:p>
            <w:pPr>
              <w:pStyle w:val="Compact"/>
              <w:jc w:val="left"/>
            </w:pPr>
            <w:r>
              <w:t xml:space="preserve">The two variables can move in either direction and show no linear relationship.</w:t>
            </w:r>
          </w:p>
        </w:tc>
      </w:tr>
      <w:tr>
        <w:tc>
          <w:tcPr/>
          <w:p>
            <w:pPr>
              <w:pStyle w:val="Compact"/>
              <w:jc w:val="left"/>
            </w:pPr>
            <m:oMath>
              <m:r>
                <m:rPr>
                  <m:sty m:val="p"/>
                </m:rPr>
                <m:t>−</m:t>
              </m:r>
              <m:r>
                <m:t>1</m:t>
              </m:r>
              <m:r>
                <m:rPr>
                  <m:sty m:val="p"/>
                </m:rPr>
                <m:t>&lt;</m:t>
              </m:r>
              <m:r>
                <m:t>r</m:t>
              </m:r>
              <m:r>
                <m:rPr>
                  <m:sty m:val="p"/>
                </m:rPr>
                <m:t>&lt;</m:t>
              </m:r>
              <m:r>
                <m:t>0</m:t>
              </m:r>
            </m:oMath>
          </w:p>
        </w:tc>
        <w:tc>
          <w:tcPr/>
          <w:p>
            <w:pPr>
              <w:pStyle w:val="Compact"/>
              <w:jc w:val="left"/>
            </w:pPr>
            <w:r>
              <w:t xml:space="preserve">The two variables tend to move together in opposite directions but there is not a direct relationship.</w:t>
            </w:r>
          </w:p>
        </w:tc>
      </w:tr>
      <w:tr>
        <w:tc>
          <w:tcPr/>
          <w:p>
            <w:pPr>
              <w:pStyle w:val="Compact"/>
              <w:jc w:val="left"/>
            </w:pPr>
            <m:oMath>
              <m:r>
                <m:t>r</m:t>
              </m:r>
              <m:r>
                <m:rPr>
                  <m:sty m:val="p"/>
                </m:rPr>
                <m:t>=</m:t>
              </m:r>
              <m:r>
                <m:rPr>
                  <m:sty m:val="p"/>
                </m:rPr>
                <m:t>−</m:t>
              </m:r>
              <m:r>
                <m:t>1</m:t>
              </m:r>
            </m:oMath>
          </w:p>
        </w:tc>
        <w:tc>
          <w:tcPr/>
          <w:p>
            <w:pPr>
              <w:pStyle w:val="Compact"/>
              <w:jc w:val="lef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25"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w:t>
      </w:r>
      <w:r>
        <w:t xml:space="preserve">cross term</w:t>
      </w:r>
      <w:r>
        <w:t xml:space="preserve">”</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VerbatimChar"/>
        </w:rPr>
        <w:t xml:space="preserve">// Import necessary libraries</w:t>
      </w:r>
      <w:r>
        <w:br/>
      </w:r>
      <w:r>
        <w:rPr>
          <w:rStyle w:val="VerbatimChar"/>
        </w:rPr>
        <w:t xml:space="preserve">Plot = require('@observablehq/plot')</w:t>
      </w:r>
      <w:r>
        <w:br/>
      </w:r>
      <w:r>
        <w:rPr>
          <w:rStyle w:val="VerbatimChar"/>
        </w:rPr>
        <w:t xml:space="preserve">d3 = require('d3@7')</w:t>
      </w:r>
      <w:r>
        <w:br/>
      </w:r>
      <w:r>
        <w:br/>
      </w:r>
      <w:r>
        <w:rPr>
          <w:rStyle w:val="VerbatimChar"/>
        </w:rPr>
        <w:t xml:space="preserve">// Define the bivariate normal PDF function</w:t>
      </w:r>
      <w:r>
        <w:br/>
      </w:r>
      <w:r>
        <w:rPr>
          <w:rStyle w:val="VerbatimChar"/>
        </w:rPr>
        <w:t xml:space="preserve">function bivariateNormalPDF(x, y, muX, muY, sigmaX, sigmaY, rho) {</w:t>
      </w:r>
      <w:r>
        <w:br/>
      </w:r>
      <w:r>
        <w:rPr>
          <w:rStyle w:val="VerbatimChar"/>
        </w:rPr>
        <w:t xml:space="preserve">  const z =</w:t>
      </w:r>
      <w:r>
        <w:br/>
      </w:r>
      <w:r>
        <w:rPr>
          <w:rStyle w:val="VerbatimChar"/>
        </w:rPr>
        <w:t xml:space="preserve">    ((x - muX) ** 2) / sigmaX ** 2 -</w:t>
      </w:r>
      <w:r>
        <w:br/>
      </w:r>
      <w:r>
        <w:rPr>
          <w:rStyle w:val="VerbatimChar"/>
        </w:rPr>
        <w:t xml:space="preserve">    (2 * rho * (x - muX) * (y - muY)) / (sigmaX * sigmaY) +</w:t>
      </w:r>
      <w:r>
        <w:br/>
      </w:r>
      <w:r>
        <w:rPr>
          <w:rStyle w:val="VerbatimChar"/>
        </w:rPr>
        <w:t xml:space="preserve">    ((y - muY) ** 2) / sigmaY ** 2;</w:t>
      </w:r>
      <w:r>
        <w:br/>
      </w:r>
      <w:r>
        <w:rPr>
          <w:rStyle w:val="VerbatimChar"/>
        </w:rPr>
        <w:t xml:space="preserve">  const denominator = 2 * Math.PI * sigmaX * sigmaY * Math.sqrt(1 - rho ** 2);</w:t>
      </w:r>
      <w:r>
        <w:br/>
      </w:r>
      <w:r>
        <w:rPr>
          <w:rStyle w:val="VerbatimChar"/>
        </w:rPr>
        <w:t xml:space="preserve">  return Math.exp(-z / (2 * (1 - rho ** 2))) / denominator;</w:t>
      </w:r>
      <w:r>
        <w:br/>
      </w:r>
      <w:r>
        <w:rPr>
          <w:rStyle w:val="VerbatimChar"/>
        </w:rPr>
        <w:t xml:space="preserve">}</w:t>
      </w:r>
      <w:r>
        <w:br/>
      </w:r>
      <w:r>
        <w:br/>
      </w:r>
      <w:r>
        <w:rPr>
          <w:rStyle w:val="VerbatimChar"/>
        </w:rPr>
        <w:t xml:space="preserve">// Parameters</w:t>
      </w:r>
      <w:r>
        <w:br/>
      </w:r>
      <w:r>
        <w:rPr>
          <w:rStyle w:val="VerbatimChar"/>
        </w:rPr>
        <w:t xml:space="preserve">const muX = 0,</w:t>
      </w:r>
      <w:r>
        <w:br/>
      </w:r>
      <w:r>
        <w:rPr>
          <w:rStyle w:val="VerbatimChar"/>
        </w:rPr>
        <w:t xml:space="preserve">  muY = 0,</w:t>
      </w:r>
      <w:r>
        <w:br/>
      </w:r>
      <w:r>
        <w:rPr>
          <w:rStyle w:val="VerbatimChar"/>
        </w:rPr>
        <w:t xml:space="preserve">  sigmaX = 1,</w:t>
      </w:r>
      <w:r>
        <w:br/>
      </w:r>
      <w:r>
        <w:rPr>
          <w:rStyle w:val="VerbatimChar"/>
        </w:rPr>
        <w:t xml:space="preserve">  sigmaY = 1;</w:t>
      </w:r>
      <w:r>
        <w:br/>
      </w:r>
      <w:r>
        <w:br/>
      </w:r>
      <w:r>
        <w:rPr>
          <w:rStyle w:val="VerbatimChar"/>
        </w:rPr>
        <w:t xml:space="preserve">// Create a slider for rho</w:t>
      </w:r>
      <w:r>
        <w:br/>
      </w:r>
      <w:r>
        <w:rPr>
          <w:rStyle w:val="VerbatimChar"/>
        </w:rPr>
        <w:t xml:space="preserve">viewof rho = Inputs.range([-0.99, 0.99], { step: 0.01, value: 0, label: 'Correlation (ρ)' })</w:t>
      </w:r>
      <w:r>
        <w:br/>
      </w:r>
      <w:r>
        <w:br/>
      </w:r>
      <w:r>
        <w:rPr>
          <w:rStyle w:val="VerbatimChar"/>
        </w:rPr>
        <w:t xml:space="preserve">// Generate grid data</w:t>
      </w:r>
      <w:r>
        <w:br/>
      </w:r>
      <w:r>
        <w:rPr>
          <w:rStyle w:val="VerbatimChar"/>
        </w:rPr>
        <w:t xml:space="preserve">const x = d3.range(-3, 3.1, 0.1);</w:t>
      </w:r>
      <w:r>
        <w:br/>
      </w:r>
      <w:r>
        <w:rPr>
          <w:rStyle w:val="VerbatimChar"/>
        </w:rPr>
        <w:t xml:space="preserve">const y = d3.range(-3, 3.1, 0.1);</w:t>
      </w:r>
      <w:r>
        <w:br/>
      </w:r>
      <w:r>
        <w:rPr>
          <w:rStyle w:val="VerbatimChar"/>
        </w:rPr>
        <w:t xml:space="preserve">const grid = x.flatMap((xi) =&gt; y.map((yi) =&gt; ({ x: xi, y: yi, z: bivariateNormalPDF(xi, yi, muX, muY, sigmaX, sigmaY, rho) })));</w:t>
      </w:r>
      <w:r>
        <w:br/>
      </w:r>
      <w:r>
        <w:br/>
      </w:r>
      <w:r>
        <w:rPr>
          <w:rStyle w:val="VerbatimChar"/>
        </w:rPr>
        <w:t xml:space="preserve">// Create the contour plot</w:t>
      </w:r>
      <w:r>
        <w:br/>
      </w:r>
      <w:r>
        <w:rPr>
          <w:rStyle w:val="VerbatimChar"/>
        </w:rPr>
        <w:t xml:space="preserve">Plot.plot({</w:t>
      </w:r>
      <w:r>
        <w:br/>
      </w:r>
      <w:r>
        <w:rPr>
          <w:rStyle w:val="VerbatimChar"/>
        </w:rPr>
        <w:t xml:space="preserve">  marks: [</w:t>
      </w:r>
      <w:r>
        <w:br/>
      </w:r>
      <w:r>
        <w:rPr>
          <w:rStyle w:val="VerbatimChar"/>
        </w:rPr>
        <w:t xml:space="preserve">    Plot.contour(grid, {</w:t>
      </w:r>
      <w:r>
        <w:br/>
      </w:r>
      <w:r>
        <w:rPr>
          <w:rStyle w:val="VerbatimChar"/>
        </w:rPr>
        <w:t xml:space="preserve">      x: 'x',</w:t>
      </w:r>
      <w:r>
        <w:br/>
      </w:r>
      <w:r>
        <w:rPr>
          <w:rStyle w:val="VerbatimChar"/>
        </w:rPr>
        <w:t xml:space="preserve">      y: 'y',</w:t>
      </w:r>
      <w:r>
        <w:br/>
      </w:r>
      <w:r>
        <w:rPr>
          <w:rStyle w:val="VerbatimChar"/>
        </w:rPr>
        <w:t xml:space="preserve">      z: 'z',</w:t>
      </w:r>
      <w:r>
        <w:br/>
      </w:r>
      <w:r>
        <w:rPr>
          <w:rStyle w:val="VerbatimChar"/>
        </w:rPr>
        <w:t xml:space="preserve">      stroke: 'steelblue',</w:t>
      </w:r>
      <w:r>
        <w:br/>
      </w:r>
      <w:r>
        <w:rPr>
          <w:rStyle w:val="VerbatimChar"/>
        </w:rPr>
        <w:t xml:space="preserve">      strokeWidth: 1,</w:t>
      </w:r>
      <w:r>
        <w:br/>
      </w:r>
      <w:r>
        <w:rPr>
          <w:rStyle w:val="VerbatimChar"/>
        </w:rPr>
        <w:t xml:space="preserve">      thresholds: 10,</w:t>
      </w:r>
      <w:r>
        <w:br/>
      </w:r>
      <w:r>
        <w:rPr>
          <w:rStyle w:val="VerbatimChar"/>
        </w:rPr>
        <w:t xml:space="preserve">    }),</w:t>
      </w:r>
      <w:r>
        <w:br/>
      </w:r>
      <w:r>
        <w:rPr>
          <w:rStyle w:val="VerbatimChar"/>
        </w:rPr>
        <w:t xml:space="preserve">  ],</w:t>
      </w:r>
      <w:r>
        <w:br/>
      </w:r>
      <w:r>
        <w:rPr>
          <w:rStyle w:val="VerbatimChar"/>
        </w:rPr>
        <w:t xml:space="preserve">  x: {</w:t>
      </w:r>
      <w:r>
        <w:br/>
      </w:r>
      <w:r>
        <w:rPr>
          <w:rStyle w:val="VerbatimChar"/>
        </w:rPr>
        <w:t xml:space="preserve">    label: 'X',</w:t>
      </w:r>
      <w:r>
        <w:br/>
      </w:r>
      <w:r>
        <w:rPr>
          <w:rStyle w:val="VerbatimChar"/>
        </w:rPr>
        <w:t xml:space="preserve">  },</w:t>
      </w:r>
      <w:r>
        <w:br/>
      </w:r>
      <w:r>
        <w:rPr>
          <w:rStyle w:val="VerbatimChar"/>
        </w:rPr>
        <w:t xml:space="preserve">  y: {</w:t>
      </w:r>
      <w:r>
        <w:br/>
      </w:r>
      <w:r>
        <w:rPr>
          <w:rStyle w:val="VerbatimChar"/>
        </w:rPr>
        <w:t xml:space="preserve">    label: 'Y',</w:t>
      </w:r>
      <w:r>
        <w:br/>
      </w:r>
      <w:r>
        <w:rPr>
          <w:rStyle w:val="VerbatimChar"/>
        </w:rPr>
        <w:t xml:space="preserve">  },</w:t>
      </w:r>
      <w:r>
        <w:br/>
      </w:r>
      <w:r>
        <w:rPr>
          <w:rStyle w:val="VerbatimChar"/>
        </w:rPr>
        <w:t xml:space="preserve">  color: {</w:t>
      </w:r>
      <w:r>
        <w:br/>
      </w:r>
      <w:r>
        <w:rPr>
          <w:rStyle w:val="VerbatimChar"/>
        </w:rPr>
        <w:t xml:space="preserve">    legend: true,</w:t>
      </w:r>
      <w:r>
        <w:br/>
      </w:r>
      <w:r>
        <w:rPr>
          <w:rStyle w:val="VerbatimChar"/>
        </w:rPr>
        <w:t xml:space="preserve">    label: 'Density',</w:t>
      </w:r>
      <w:r>
        <w:br/>
      </w:r>
      <w:r>
        <w:rPr>
          <w:rStyle w:val="VerbatimChar"/>
        </w:rPr>
        <w:t xml:space="preserve">  },</w:t>
      </w:r>
      <w:r>
        <w:br/>
      </w:r>
      <w:r>
        <w:rPr>
          <w:rStyle w:val="VerbatimChar"/>
        </w:rPr>
        <w:t xml:space="preserve">  width: 600,</w:t>
      </w:r>
      <w:r>
        <w:br/>
      </w:r>
      <w:r>
        <w:rPr>
          <w:rStyle w:val="VerbatimChar"/>
        </w:rPr>
        <w:t xml:space="preserve">  height: 600,</w:t>
      </w:r>
      <w:r>
        <w:br/>
      </w:r>
      <w:r>
        <w:rPr>
          <w:rStyle w:val="VerbatimChar"/>
        </w:rP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2024-12-19T05:09:58Z</dcterms:created>
  <dcterms:modified xsi:type="dcterms:W3CDTF">2024-12-19T05:09:58Z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True</vt:lpwstr>
  </property>
  <property fmtid="{D5CDD505-2E9C-101B-9397-08002B2CF9AE}" pid="14" name="listing">
    <vt:lpwstr/>
  </property>
  <property fmtid="{D5CDD505-2E9C-101B-9397-08002B2CF9AE}" pid="15" name="search">
    <vt:lpwstr>True</vt:lpwstr>
  </property>
  <property fmtid="{D5CDD505-2E9C-101B-9397-08002B2CF9AE}" pid="16" name="toc-title">
    <vt:lpwstr>Table of contents</vt:lpwstr>
  </property>
</Properties>
</file>