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Probabilistic</w:t>
      </w:r>
      <w:r>
        <w:t xml:space="preserve"> </w:t>
      </w:r>
      <w:r>
        <w:t xml:space="preserve">Models</w:t>
      </w:r>
      <w:r>
        <w:t xml:space="preserve"> </w:t>
      </w:r>
      <w:r>
        <w:t xml:space="preserve">for</w:t>
      </w:r>
      <w:r>
        <w:t xml:space="preserve"> </w:t>
      </w:r>
      <w:r>
        <w:t xml:space="preserve">Classification</w:t>
      </w:r>
    </w:p>
    <w:p>
      <w:pPr>
        <w:pStyle w:val="Author"/>
      </w:pPr>
      <w:r>
        <w:t xml:space="preserve">Rafiq</w:t>
      </w:r>
      <w:r>
        <w:t xml:space="preserve"> </w:t>
      </w:r>
      <w:r>
        <w:t xml:space="preserve">Islam</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3" w:name="introduction"/>
    <w:p>
      <w:pPr>
        <w:pStyle w:val="Heading2"/>
      </w:pPr>
      <w:r>
        <w:t xml:space="preserve">Introduction</w:t>
      </w:r>
    </w:p>
    <w:p>
      <w:pPr>
        <w:pStyle w:val="FirstParagraph"/>
      </w:pP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based on the definition of conditional probability. For two events</w:t>
      </w:r>
      <w:r>
        <w:t xml:space="preserve"> </w:t>
      </w:r>
      <m:oMath>
        <m:r>
          <m:t>A</m:t>
        </m:r>
      </m:oMath>
      <w:r>
        <w:t xml:space="preserve"> </w:t>
      </w:r>
      <w:r>
        <w:t xml:space="preserve">and</w:t>
      </w:r>
      <w:r>
        <w:t xml:space="preserve"> </w:t>
      </w:r>
      <m:oMath>
        <m:r>
          <m:t>B</m:t>
        </m:r>
      </m:oMath>
      <w:r>
        <w:t xml:space="preserve"> </w:t>
      </w:r>
      <w:r>
        <w:t xml:space="preserve">with</w:t>
      </w:r>
      <w:r>
        <w:t xml:space="preserve"> </w:t>
      </w:r>
      <m:oMath>
        <m:r>
          <m:rPr>
            <m:sty m:val="p"/>
            <m:scr m:val="double-struck"/>
          </m:rPr>
          <m:t>P</m:t>
        </m:r>
        <m:d>
          <m:dPr>
            <m:begChr m:val="("/>
            <m:endChr m:val=")"/>
            <m:sepChr m:val=""/>
            <m:grow/>
          </m:dPr>
          <m:e>
            <m:r>
              <m:t>B</m:t>
            </m:r>
          </m:e>
        </m:d>
        <m:r>
          <m:rPr>
            <m:sty m:val="p"/>
          </m:rPr>
          <m:t>≠</m:t>
        </m:r>
        <m:r>
          <m:t>0</m:t>
        </m:r>
      </m:oMath>
      <w:r>
        <w:t xml:space="preserve">, we define the conditional probability of occurring</w:t>
      </w:r>
      <w:r>
        <w:t xml:space="preserve"> </w:t>
      </w:r>
      <m:oMath>
        <m:r>
          <m:t>A</m:t>
        </m:r>
      </m:oMath>
      <w:r>
        <w:t xml:space="preserve"> </w:t>
      </w:r>
      <w:r>
        <w:t xml:space="preserve">given that</w:t>
      </w:r>
      <w:r>
        <w:t xml:space="preserve"> </w:t>
      </w:r>
      <m:oMath>
        <m:r>
          <m:t>B</m:t>
        </m:r>
      </m:oMath>
      <w:r>
        <w:t xml:space="preserve"> </w:t>
      </w:r>
      <w:r>
        <w:t xml:space="preserve">has already occurred.</w:t>
      </w:r>
    </w:p>
    <w:p>
      <w:pPr>
        <w:pStyle w:val="BodyText"/>
      </w:pPr>
      <w:r>
        <w:drawing>
          <wp:inline>
            <wp:extent cx="3724275" cy="2867025"/>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3724275" cy="2867025"/>
                    </a:xfrm>
                    <a:prstGeom prst="rect">
                      <a:avLst/>
                    </a:prstGeom>
                    <a:noFill/>
                    <a:ln w="9525">
                      <a:noFill/>
                      <a:headEnd/>
                      <a:tailEnd/>
                    </a:ln>
                  </pic:spPr>
                </pic:pic>
              </a:graphicData>
            </a:graphic>
          </wp:inline>
        </w:drawing>
      </w:r>
    </w:p>
    <w:p>
      <w:pPr>
        <w:pStyle w:val="SourceCode"/>
      </w:pPr>
      <w:r>
        <w:rPr>
          <w:rStyle w:val="VerbatimChar"/>
        </w:rPr>
        <w:t xml:space="preserve">&lt;Figure size 384x288 with 0 Axes&gt;</w:t>
      </w:r>
    </w:p>
    <w:p>
      <w:pPr>
        <w:pStyle w:val="FirstParagraph"/>
      </w:p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oMath>
    </w:p>
    <w:p>
      <w:pPr>
        <w:pStyle w:val="BodyText"/>
      </w:pPr>
      <w:r>
        <w:t xml:space="preserve">Similarly, the conditional probability of occuring</w:t>
      </w:r>
      <w:r>
        <w:t xml:space="preserve"> </w:t>
      </w:r>
      <m:oMath>
        <m:r>
          <m:t>B</m:t>
        </m:r>
      </m:oMath>
      <w:r>
        <w:t xml:space="preserve"> </w:t>
      </w:r>
      <w:r>
        <w:t xml:space="preserve">given that</w:t>
      </w:r>
      <w:r>
        <w:t xml:space="preserve"> </w:t>
      </w:r>
      <m:oMath>
        <m:r>
          <m:t>A</m:t>
        </m:r>
      </m:oMath>
      <w:r>
        <w:t xml:space="preserve"> </w:t>
      </w:r>
      <w:r>
        <w:t xml:space="preserve">has already occured with</w:t>
      </w:r>
      <w:r>
        <w:t xml:space="preserve"> </w:t>
      </w:r>
      <m:oMath>
        <m:r>
          <m:rPr>
            <m:sty m:val="p"/>
            <m:scr m:val="double-struck"/>
          </m:rPr>
          <m:t>P</m:t>
        </m:r>
        <m:d>
          <m:dPr>
            <m:begChr m:val="("/>
            <m:endChr m:val=")"/>
            <m:sepChr m:val=""/>
            <m:grow/>
          </m:dPr>
          <m:e>
            <m:r>
              <m:t>A</m:t>
            </m:r>
          </m:e>
        </m:d>
        <m:r>
          <m:rPr>
            <m:sty m:val="p"/>
          </m:rPr>
          <m:t>≠</m:t>
        </m:r>
        <m:r>
          <m:t>0</m:t>
        </m:r>
      </m:oMath>
      <w:r>
        <w:t xml:space="preserve"> </w:t>
      </w:r>
      <w:r>
        <w:t xml:space="preserve">is</w:t>
      </w:r>
      <w:r>
        <w:br/>
      </w:r>
    </w:p>
    <w:p>
      <w:pPr>
        <w:pStyle w:val="BodyText"/>
      </w:pPr>
      <m:oMathPara>
        <m:oMathParaPr>
          <m:jc m:val="center"/>
        </m:oMathParaPr>
        <m:oMath>
          <m:r>
            <m:rPr>
              <m:sty m:val="p"/>
              <m:scr m:val="double-struck"/>
            </m:rPr>
            <m:t>P</m:t>
          </m:r>
          <m:d>
            <m:dPr>
              <m:begChr m:val="("/>
              <m:endChr m:val=")"/>
              <m:sepChr m:val=""/>
              <m:grow/>
            </m:dPr>
            <m:e>
              <m:r>
                <m:t>B</m:t>
              </m:r>
              <m:r>
                <m:rPr>
                  <m:sty m:val="p"/>
                </m:rPr>
                <m:t>|</m:t>
              </m:r>
              <m:r>
                <m:t>A</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A</m:t>
                  </m:r>
                </m:e>
              </m:d>
            </m:den>
          </m:f>
        </m:oMath>
      </m:oMathPara>
    </w:p>
    <w:p>
      <w:pPr>
        <w:pStyle w:val="FirstParagraph"/>
      </w:pPr>
      <w:r>
        <w:t xml:space="preserve">From this equation, we can derive that the joint probability of</w:t>
      </w:r>
      <w:r>
        <w:t xml:space="preserve"> </w:t>
      </w:r>
      <m:oMath>
        <m:r>
          <m:t>A</m:t>
        </m:r>
        <m:r>
          <m:rPr>
            <m:sty m:val="p"/>
          </m:rPr>
          <m:t>∩</m:t>
        </m:r>
        <m:r>
          <m:t>B</m:t>
        </m:r>
      </m:oMath>
      <w:r>
        <w:t xml:space="preserve"> </w:t>
      </w:r>
      <w:r>
        <w:t xml:space="preserve">is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oMath>
      </m:oMathPara>
    </w:p>
    <w:bookmarkEnd w:id="23"/>
    <w:bookmarkStart w:id="30" w:name="bayess-theorem"/>
    <w:p>
      <w:pPr>
        <w:pStyle w:val="Heading2"/>
      </w:pPr>
      <w:r>
        <w:t xml:space="preserve">Bayes’s Theorem</w:t>
      </w:r>
    </w:p>
    <w:bookmarkStart w:id="24" w:name="for-two-events-or-random-variables"/>
    <w:p>
      <w:pPr>
        <w:pStyle w:val="Heading3"/>
      </w:pPr>
      <w:r>
        <w:t xml:space="preserve">For Two Events or Random Variables</w:t>
      </w:r>
    </w:p>
    <w:p>
      <w:pPr>
        <w:pStyle w:val="FirstParagraph"/>
      </w:pPr>
      <w:r>
        <w:t xml:space="preserve">Bayes’s theorem is based on these conditional probabilities. It states that the likelihood of occuring the event</w:t>
      </w:r>
      <w:r>
        <w:t xml:space="preserve"> </w:t>
      </w:r>
      <m:oMath>
        <m:r>
          <m:t>A</m:t>
        </m:r>
      </m:oMath>
      <w:r>
        <w:t xml:space="preserve"> </w:t>
      </w:r>
      <w:r>
        <w:t xml:space="preserve">given that the event</w:t>
      </w:r>
      <w:r>
        <w:t xml:space="preserve"> </w:t>
      </w:r>
      <m:oMath>
        <m:r>
          <m:t>B</m:t>
        </m:r>
      </m:oMath>
      <w:r>
        <w:t xml:space="preserve"> </w:t>
      </w:r>
      <w:r>
        <w:t xml:space="preserve">has occured is given as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B</m:t>
                  </m:r>
                  <m:r>
                    <m:rPr>
                      <m:sty m:val="p"/>
                    </m:rPr>
                    <m:t>∩</m:t>
                  </m:r>
                  <m:sSup>
                    <m:e>
                      <m:r>
                        <m:t>A</m:t>
                      </m:r>
                    </m:e>
                    <m:sup>
                      <m:r>
                        <m:t>c</m:t>
                      </m:r>
                    </m:sup>
                  </m:sSup>
                </m:e>
              </m:d>
            </m:den>
          </m:f>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A</m:t>
                  </m:r>
                  <m:r>
                    <m:rPr>
                      <m:sty m:val="p"/>
                    </m:rPr>
                    <m:t>|</m:t>
                  </m:r>
                  <m:r>
                    <m:t>B</m:t>
                  </m:r>
                </m:e>
              </m:d>
              <m:r>
                <m:rPr>
                  <m:sty m:val="p"/>
                  <m:scr m:val="double-struck"/>
                </m:rPr>
                <m:t>P</m:t>
              </m:r>
              <m:d>
                <m:dPr>
                  <m:begChr m:val="("/>
                  <m:endChr m:val=")"/>
                  <m:sepChr m:val=""/>
                  <m:grow/>
                </m:dPr>
                <m:e>
                  <m:r>
                    <m:t>B</m:t>
                  </m:r>
                </m:e>
              </m:d>
            </m:den>
          </m:f>
        </m:oMath>
      </m:oMathPara>
    </w:p>
    <w:p>
      <w:pPr>
        <w:pStyle w:val="FirstParagraph"/>
      </w:pPr>
      <w:r>
        <w:t xml:space="preserve">where, in Bayesin terminology,</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endChr m:val=")"/>
            <m:sep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or</w:t>
      </w:r>
      <w:r>
        <w:t xml:space="preserve"> </w:t>
      </w:r>
      <m:oMath>
        <m:r>
          <m:rPr>
            <m:sty m:val="p"/>
            <m:scr m:val="double-struck"/>
          </m:rPr>
          <m:t>P</m:t>
        </m:r>
        <m:d>
          <m:dPr>
            <m:begChr m:val="("/>
            <m:endChr m:val=")"/>
            <m:sep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br/>
      </w:r>
    </w:p>
    <w:p>
      <w:pPr>
        <w:pStyle w:val="Compact"/>
        <w:numPr>
          <w:ilvl w:val="0"/>
          <w:numId w:val="1001"/>
        </w:numPr>
      </w:pPr>
      <m:oMath>
        <m:r>
          <m:rPr>
            <m:sty m:val="p"/>
            <m:scr m:val="double-struck"/>
          </m:rPr>
          <m:t>P</m:t>
        </m:r>
        <m:d>
          <m:dPr>
            <m:begChr m:val="("/>
            <m:endChr m:val=")"/>
            <m:sep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endChr m:val=")"/>
            <m:sepChr m:val=""/>
            <m:grow/>
          </m:dPr>
          <m:e>
            <m:r>
              <m:t>B</m:t>
            </m:r>
          </m:e>
        </m:d>
      </m:oMath>
      <w:r>
        <w:t xml:space="preserve"> </w:t>
      </w:r>
      <w:r>
        <w:t xml:space="preserve">is called the marginal likelihood or marginal probabilities.</w:t>
      </w:r>
    </w:p>
    <w:p>
      <w:pPr>
        <w:pStyle w:val="FirstParagraph"/>
      </w:pPr>
      <w:r>
        <w:t xml:space="preserve">For two continuous random variable</w:t>
      </w:r>
      <w:r>
        <w:t xml:space="preserve"> </w:t>
      </w:r>
      <m:oMath>
        <m:r>
          <m:t>X</m:t>
        </m:r>
      </m:oMath>
      <w:r>
        <w:t xml:space="preserve"> </w:t>
      </w:r>
      <w:r>
        <w:t xml:space="preserve">and</w:t>
      </w:r>
      <w:r>
        <w:t xml:space="preserve"> </w:t>
      </w:r>
      <m:oMath>
        <m:r>
          <m:t>Y</m:t>
        </m:r>
      </m:oMath>
      <w:r>
        <w:t xml:space="preserve">, the conditional probability density function of</w:t>
      </w:r>
      <w:r>
        <w:t xml:space="preserve"> </w:t>
      </w:r>
      <m:oMath>
        <m:r>
          <m:t>X</m:t>
        </m:r>
      </m:oMath>
      <w:r>
        <w:t xml:space="preserve"> </w:t>
      </w:r>
      <w:r>
        <w:t xml:space="preserve">given the occurence of the value</w:t>
      </w:r>
      <w:r>
        <w:t xml:space="preserve"> </w:t>
      </w:r>
      <m:oMath>
        <m:r>
          <m:t>y</m:t>
        </m:r>
      </m:oMath>
      <w:r>
        <w:t xml:space="preserve"> </w:t>
      </w:r>
      <w:r>
        <w:t xml:space="preserve">of</w:t>
      </w:r>
      <w:r>
        <w:t xml:space="preserve"> </w:t>
      </w:r>
      <m:oMath>
        <m:r>
          <m:t>Y</m:t>
        </m:r>
      </m:oMath>
      <w:r>
        <w:t xml:space="preserve"> </w:t>
      </w:r>
      <w:r>
        <w:t xml:space="preserve">can be given as</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Y</m:t>
                  </m:r>
                </m:sub>
              </m:sSub>
              <m:d>
                <m:dPr>
                  <m:begChr m:val="("/>
                  <m:endChr m:val=")"/>
                  <m:sepChr m:val=""/>
                  <m:grow/>
                </m:dPr>
                <m:e>
                  <m:r>
                    <m:t>y</m:t>
                  </m:r>
                </m:e>
              </m:d>
            </m:den>
          </m:f>
        </m:oMath>
      </m:oMathPara>
    </w:p>
    <w:p>
      <w:pPr>
        <w:pStyle w:val="FirstParagraph"/>
      </w:pPr>
      <w:r>
        <w:t xml:space="preserve">or the otherway around,</w:t>
      </w:r>
      <w:r>
        <w:br/>
      </w:r>
    </w:p>
    <w:p>
      <w:pPr>
        <w:pStyle w:val="BodyText"/>
      </w:pPr>
      <m:oMathPara>
        <m:oMathParaPr>
          <m:jc m:val="center"/>
        </m:oMathParaPr>
        <m:oMath>
          <m:sSub>
            <m:e>
              <m:r>
                <m:t>f</m:t>
              </m:r>
            </m:e>
            <m:sub>
              <m:r>
                <m:t>Y</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sub>
              </m:sSub>
              <m:d>
                <m:dPr>
                  <m:begChr m:val="("/>
                  <m:endChr m:val=")"/>
                  <m:sepChr m:val=""/>
                  <m:grow/>
                </m:dPr>
                <m:e>
                  <m:r>
                    <m:t>x</m:t>
                  </m:r>
                  <m:r>
                    <m:rPr>
                      <m:sty m:val="p"/>
                    </m:rPr>
                    <m:t>,</m:t>
                  </m:r>
                  <m:r>
                    <m:t>y</m:t>
                  </m:r>
                </m:e>
              </m:d>
            </m:num>
            <m:den>
              <m:sSub>
                <m:e>
                  <m:r>
                    <m:t>f</m:t>
                  </m:r>
                </m:e>
                <m:sub>
                  <m:r>
                    <m:t>X</m:t>
                  </m:r>
                </m:sub>
              </m:sSub>
              <m:d>
                <m:dPr>
                  <m:begChr m:val="("/>
                  <m:endChr m:val=")"/>
                  <m:sepChr m:val=""/>
                  <m:grow/>
                </m:dPr>
                <m:e>
                  <m:r>
                    <m:t>x</m:t>
                  </m:r>
                </m:e>
              </m:d>
            </m:den>
          </m:f>
        </m:oMath>
      </m:oMathPara>
    </w:p>
    <w:p>
      <w:pPr>
        <w:pStyle w:val="FirstParagraph"/>
      </w:pPr>
      <w:r>
        <w:t xml:space="preserve">Therefore, the continuous version of Bayes’s theorem is given as follows</w:t>
      </w:r>
    </w:p>
    <w:p>
      <w:pPr>
        <w:pStyle w:val="BodyText"/>
      </w:pPr>
      <m:oMathPara>
        <m:oMathParaPr>
          <m:jc m:val="center"/>
        </m:oMathParaPr>
        <m:oMath>
          <m:sSub>
            <m:e>
              <m:r>
                <m:t>f</m:t>
              </m:r>
            </m:e>
            <m:sub>
              <m:r>
                <m:t>Y</m:t>
              </m:r>
              <m:r>
                <m:rPr>
                  <m:sty m:val="p"/>
                </m:rPr>
                <m:t>|</m:t>
              </m:r>
              <m:r>
                <m:t>X</m:t>
              </m:r>
            </m:sub>
          </m:sSub>
          <m:d>
            <m:dPr>
              <m:begChr m:val="("/>
              <m:endChr m:val=")"/>
              <m:sepChr m:val=""/>
              <m:grow/>
            </m:dPr>
            <m:e>
              <m:r>
                <m:t>y</m:t>
              </m:r>
            </m:e>
          </m:d>
          <m:r>
            <m:rPr>
              <m:sty m:val="p"/>
            </m:rPr>
            <m:t>=</m:t>
          </m:r>
          <m:f>
            <m:fPr>
              <m:type m:val="bar"/>
            </m:fPr>
            <m:num>
              <m:sSub>
                <m:e>
                  <m:r>
                    <m:t>f</m:t>
                  </m:r>
                </m:e>
                <m:sub>
                  <m:r>
                    <m:t>X</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sSub>
                <m:e>
                  <m:r>
                    <m:t>f</m:t>
                  </m:r>
                </m:e>
                <m:sub>
                  <m:r>
                    <m:t>X</m:t>
                  </m:r>
                </m:sub>
              </m:sSub>
              <m:d>
                <m:dPr>
                  <m:begChr m:val="("/>
                  <m:endChr m:val=")"/>
                  <m:sepChr m:val=""/>
                  <m:grow/>
                </m:dPr>
                <m:e>
                  <m:r>
                    <m:t>x</m:t>
                  </m:r>
                </m:e>
              </m:d>
            </m:den>
          </m:f>
        </m:oMath>
      </m:oMathPara>
    </w:p>
    <w:bookmarkEnd w:id="24"/>
    <w:bookmarkStart w:id="29" w:name="generalization-of-bayess-theorem"/>
    <w:p>
      <w:pPr>
        <w:pStyle w:val="Heading3"/>
      </w:pPr>
      <w:r>
        <w:t xml:space="preserve">Generalization of Bayes’s Theorem</w:t>
      </w:r>
    </w:p>
    <w:p>
      <w:pPr>
        <w:pStyle w:val="FirstParagraph"/>
      </w:pPr>
      <w:r>
        <w:t xml:space="preserve">For</w:t>
      </w:r>
      <w:r>
        <w:t xml:space="preserve"> </w:t>
      </w:r>
      <m:oMath>
        <m:r>
          <m:t>n</m:t>
        </m:r>
      </m:oMath>
      <w:r>
        <w:t xml:space="preserve"> </w:t>
      </w:r>
      <w:r>
        <w:t xml:space="preserve">disjoint set of discrete events</w:t>
      </w:r>
      <w:r>
        <w:t xml:space="preserve"> </w:t>
      </w:r>
      <m:oMath>
        <m:sSub>
          <m:e>
            <m:r>
              <m:t>B</m:t>
            </m:r>
          </m:e>
          <m:sub>
            <m:r>
              <m:t>1</m:t>
            </m:r>
          </m:sub>
        </m:sSub>
        <m:r>
          <m:rPr>
            <m:sty m:val="p"/>
          </m:rPr>
          <m:t>,</m:t>
        </m:r>
        <m:sSub>
          <m:e>
            <m:r>
              <m:t>B</m:t>
            </m:r>
          </m:e>
          <m:sub>
            <m:r>
              <m:t>2</m:t>
            </m:r>
          </m:sub>
        </m:sSub>
        <m:r>
          <m:rPr>
            <m:sty m:val="p"/>
          </m:rPr>
          <m:t>…</m:t>
        </m:r>
        <m:r>
          <m:rPr>
            <m:sty m:val="p"/>
          </m:rPr>
          <m:t>,</m:t>
        </m:r>
        <m:sSub>
          <m:e>
            <m:r>
              <m:t>B</m:t>
            </m:r>
          </m:e>
          <m:sub>
            <m:r>
              <m:t>n</m:t>
            </m:r>
          </m:sub>
        </m:sSub>
      </m:oMath>
      <w:r>
        <w:t xml:space="preserve"> </w:t>
      </w:r>
      <w:r>
        <w:t xml:space="preserve">where</w:t>
      </w:r>
      <w:r>
        <w:t xml:space="preserve"> </w:t>
      </w:r>
      <m:oMath>
        <m:r>
          <m:t>Ω</m:t>
        </m:r>
        <m:r>
          <m:rPr>
            <m:sty m:val="p"/>
          </m:rPr>
          <m:t>=</m:t>
        </m:r>
        <m:sSubSup>
          <m:e>
            <m:r>
              <m:rPr>
                <m:sty m:val="p"/>
              </m:rPr>
              <m:t>∪</m:t>
            </m:r>
          </m:e>
          <m:sub>
            <m:r>
              <m:t>i</m:t>
            </m:r>
          </m:sub>
          <m:sup>
            <m:r>
              <m:t>n</m:t>
            </m:r>
          </m:sup>
        </m:sSubSup>
        <m:sSub>
          <m:e>
            <m:r>
              <m:t>B</m:t>
            </m:r>
          </m:e>
          <m:sub>
            <m:r>
              <m:t>i</m:t>
            </m:r>
          </m:sub>
        </m:sSub>
      </m:oMath>
      <w:r>
        <w:t xml:space="preserve"> </w:t>
      </w:r>
      <w:r>
        <w:t xml:space="preserve">and for any event</w:t>
      </w:r>
      <w:r>
        <w:t xml:space="preserve"> </w:t>
      </w:r>
      <m:oMath>
        <m:r>
          <m:t>A</m:t>
        </m:r>
        <m:r>
          <m:rPr>
            <m:sty m:val="p"/>
          </m:rPr>
          <m:t>∈</m:t>
        </m:r>
        <m:r>
          <m:t>Ω</m:t>
        </m:r>
      </m:oMath>
      <w:r>
        <w:t xml:space="preserve">, we will have</w:t>
      </w:r>
      <w:r>
        <w:br/>
      </w:r>
    </w:p>
    <w:p>
      <w:pPr>
        <w:pStyle w:val="BodyText"/>
      </w:pPr>
      <m:oMathPara>
        <m:oMathParaPr>
          <m:jc m:val="center"/>
        </m:oMathParaPr>
        <m:oMath>
          <m:r>
            <m:rPr>
              <m:sty m:val="p"/>
              <m:scr m:val="double-struck"/>
            </m:rPr>
            <m:t>P</m:t>
          </m:r>
          <m:d>
            <m:dPr>
              <m:begChr m:val="("/>
              <m:endChr m:val=")"/>
              <m:sepChr m:val=""/>
              <m:grow/>
            </m:dPr>
            <m:e>
              <m:r>
                <m:t>A</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oMath>
      </m:oMathPara>
    </w:p>
    <w:p>
      <w:pPr>
        <w:pStyle w:val="FirstParagraph"/>
      </w:pPr>
      <w:r>
        <w:t xml:space="preserve">and this is true by the</w:t>
      </w:r>
      <w:r>
        <w:t xml:space="preserve"> </w:t>
      </w:r>
      <w:hyperlink r:id="rId25">
        <w:r>
          <w:rPr>
            <w:rStyle w:val="Hyperlink"/>
          </w:rPr>
          <w:t xml:space="preserve">law of total probability</w:t>
        </w:r>
      </w:hyperlink>
      <w:r>
        <w:t xml:space="preserve">.</w:t>
      </w:r>
    </w:p>
    <w:p>
      <w:pPr>
        <w:pStyle w:val="BodyText"/>
      </w:pPr>
      <w:r>
        <w:drawing>
          <wp:inline>
            <wp:extent cx="3724275" cy="2257425"/>
            <wp:effectExtent b="0" l="0" r="0" t="0"/>
            <wp:docPr descr="" title="" id="27" name="Picture"/>
            <a:graphic>
              <a:graphicData uri="http://schemas.openxmlformats.org/drawingml/2006/picture">
                <pic:pic>
                  <pic:nvPicPr>
                    <pic:cNvPr descr="index_files/figure-docx/cell-3-output-1.png" id="28" name="Picture"/>
                    <pic:cNvPicPr>
                      <a:picLocks noChangeArrowheads="1" noChangeAspect="1"/>
                    </pic:cNvPicPr>
                  </pic:nvPicPr>
                  <pic:blipFill>
                    <a:blip r:embed="rId26"/>
                    <a:stretch>
                      <a:fillRect/>
                    </a:stretch>
                  </pic:blipFill>
                  <pic:spPr bwMode="auto">
                    <a:xfrm>
                      <a:off x="0" y="0"/>
                      <a:ext cx="3724275" cy="2257425"/>
                    </a:xfrm>
                    <a:prstGeom prst="rect">
                      <a:avLst/>
                    </a:prstGeom>
                    <a:noFill/>
                    <a:ln w="9525">
                      <a:noFill/>
                      <a:headEnd/>
                      <a:tailEnd/>
                    </a:ln>
                  </pic:spPr>
                </pic:pic>
              </a:graphicData>
            </a:graphic>
          </wp:inline>
        </w:drawing>
      </w:r>
    </w:p>
    <w:p>
      <w:pPr>
        <w:pStyle w:val="BodyText"/>
      </w:pPr>
      <w:r>
        <w:t xml:space="preserve">Then the Bayes’s rule extends to the following</w:t>
      </w:r>
    </w:p>
    <w:p>
      <w:pPr>
        <w:pStyle w:val="BodyText"/>
      </w:pPr>
      <m:oMathPara>
        <m:oMathParaPr>
          <m:jc m:val="center"/>
        </m:oMathParaPr>
        <m:oMath>
          <m:r>
            <m:rPr>
              <m:sty m:val="p"/>
              <m:scr m:val="double-struck"/>
            </m:rPr>
            <m:t>P</m:t>
          </m:r>
          <m:d>
            <m:dPr>
              <m:begChr m:val="("/>
              <m:endChr m:val=")"/>
              <m:sepChr m:val=""/>
              <m:grow/>
            </m:dPr>
            <m:e>
              <m:sSub>
                <m:e>
                  <m:r>
                    <m:t>B</m:t>
                  </m:r>
                </m:e>
                <m:sub>
                  <m:r>
                    <m:t>i</m:t>
                  </m:r>
                </m:sub>
              </m:sSub>
              <m:r>
                <m:rPr>
                  <m:sty m:val="p"/>
                </m:rPr>
                <m:t>|</m:t>
              </m:r>
              <m:r>
                <m:t>A</m:t>
              </m:r>
            </m:e>
          </m:d>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r>
                <m:rPr>
                  <m:sty m:val="p"/>
                  <m:scr m:val="double-struck"/>
                </m:rPr>
                <m:t>P</m:t>
              </m:r>
              <m:d>
                <m:dPr>
                  <m:begChr m:val="("/>
                  <m:endChr m:val=")"/>
                  <m:sepChr m:val=""/>
                  <m:grow/>
                </m:dPr>
                <m:e>
                  <m:r>
                    <m:t>A</m:t>
                  </m:r>
                </m:e>
              </m:d>
            </m:den>
          </m:f>
          <m:r>
            <m:rPr>
              <m:sty m:val="p"/>
            </m:rPr>
            <m:t>=</m:t>
          </m:r>
          <m:f>
            <m:fPr>
              <m:type m:val="bar"/>
            </m:fPr>
            <m:num>
              <m:r>
                <m:rPr>
                  <m:sty m:val="p"/>
                  <m:scr m:val="double-struck"/>
                </m:rPr>
                <m:t>P</m:t>
              </m:r>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num>
            <m:den>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r>
                    <m:t>A</m:t>
                  </m:r>
                  <m:r>
                    <m:rPr>
                      <m:sty m:val="p"/>
                    </m:rPr>
                    <m:t>|</m:t>
                  </m:r>
                  <m:sSub>
                    <m:e>
                      <m:r>
                        <m:t>B</m:t>
                      </m:r>
                    </m:e>
                    <m:sub>
                      <m:r>
                        <m:t>i</m:t>
                      </m:r>
                    </m:sub>
                  </m:sSub>
                </m:e>
              </m:d>
              <m:r>
                <m:rPr>
                  <m:sty m:val="p"/>
                  <m:scr m:val="double-struck"/>
                </m:rPr>
                <m:t>P</m:t>
              </m:r>
              <m:d>
                <m:dPr>
                  <m:begChr m:val="("/>
                  <m:endChr m:val=")"/>
                  <m:sepChr m:val=""/>
                  <m:grow/>
                </m:dPr>
                <m:e>
                  <m:sSub>
                    <m:e>
                      <m:r>
                        <m:t>B</m:t>
                      </m:r>
                    </m:e>
                    <m:sub>
                      <m:r>
                        <m:t>i</m:t>
                      </m:r>
                    </m:sub>
                  </m:sSub>
                </m:e>
              </m:d>
            </m:den>
          </m:f>
        </m:oMath>
      </m:oMathPara>
    </w:p>
    <w:p>
      <w:pPr>
        <w:pStyle w:val="FirstParagraph"/>
      </w:pPr>
      <w:r>
        <w:t xml:space="preserve">The continuous version would be</w:t>
      </w:r>
    </w:p>
    <w:p>
      <w:pPr>
        <w:pStyle w:val="BodyText"/>
      </w:pPr>
      <m:oMathPara>
        <m:oMathParaPr>
          <m:jc m:val="center"/>
        </m:oMathParaPr>
        <m:oMath>
          <m:sSub>
            <m:e>
              <m:r>
                <m:t>f</m:t>
              </m:r>
            </m:e>
            <m:sub>
              <m:r>
                <m:t>Y</m:t>
              </m:r>
              <m:r>
                <m:rPr>
                  <m:sty m:val="p"/>
                </m:rPr>
                <m:t>=</m:t>
              </m:r>
              <m:r>
                <m:t>y</m:t>
              </m:r>
              <m:r>
                <m:rPr>
                  <m:sty m:val="p"/>
                </m:rPr>
                <m:t>|</m:t>
              </m:r>
              <m:r>
                <m:t>X</m:t>
              </m:r>
              <m:r>
                <m:rPr>
                  <m:sty m:val="p"/>
                </m:rPr>
                <m:t>=</m:t>
              </m:r>
              <m:r>
                <m:t>x</m:t>
              </m:r>
            </m:sub>
          </m:sSub>
          <m:d>
            <m:dPr>
              <m:begChr m:val="("/>
              <m:endChr m:val=")"/>
              <m:sepChr m:val=""/>
              <m:grow/>
            </m:dPr>
            <m:e>
              <m:r>
                <m:t>y</m:t>
              </m:r>
              <m:r>
                <m:rPr>
                  <m:sty m:val="p"/>
                </m:rPr>
                <m:t>|</m:t>
              </m:r>
              <m:r>
                <m:t>x</m:t>
              </m:r>
            </m:e>
          </m:d>
          <m:r>
            <m:rPr>
              <m:sty m:val="p"/>
            </m:rPr>
            <m:t>=</m:t>
          </m:r>
          <m:f>
            <m:fPr>
              <m:type m:val="bar"/>
            </m:fPr>
            <m:num>
              <m:sSub>
                <m:e>
                  <m:r>
                    <m:t>f</m:t>
                  </m:r>
                </m:e>
                <m:sub>
                  <m:r>
                    <m:t>X</m:t>
                  </m:r>
                  <m:r>
                    <m:rPr>
                      <m:sty m:val="p"/>
                    </m:rPr>
                    <m:t>|</m:t>
                  </m:r>
                  <m:r>
                    <m:t>Y</m:t>
                  </m:r>
                  <m:r>
                    <m:rPr>
                      <m:sty m:val="p"/>
                    </m:rPr>
                    <m:t>=</m:t>
                  </m:r>
                  <m:r>
                    <m:t>y</m:t>
                  </m:r>
                </m:sub>
              </m:sSub>
              <m:d>
                <m:dPr>
                  <m:begChr m:val="("/>
                  <m:endChr m:val=")"/>
                  <m:sepChr m:val=""/>
                  <m:grow/>
                </m:dPr>
                <m:e>
                  <m:r>
                    <m:t>x</m:t>
                  </m:r>
                </m:e>
              </m:d>
              <m:sSub>
                <m:e>
                  <m:r>
                    <m:t>f</m:t>
                  </m:r>
                </m:e>
                <m:sub>
                  <m:r>
                    <m:t>Y</m:t>
                  </m:r>
                </m:sub>
              </m:sSub>
              <m:d>
                <m:dPr>
                  <m:begChr m:val="("/>
                  <m:endChr m:val=")"/>
                  <m:sepChr m:val=""/>
                  <m:grow/>
                </m:dPr>
                <m:e>
                  <m:r>
                    <m:t>y</m:t>
                  </m:r>
                </m:e>
              </m:d>
            </m:num>
            <m:den>
              <m:nary>
                <m:naryPr>
                  <m:chr m:val="∑"/>
                  <m:limLoc m:val="undOvr"/>
                  <m:subHide m:val="off"/>
                  <m:supHide m:val="off"/>
                </m:naryPr>
                <m:sub>
                  <m:r>
                    <m:t>i</m:t>
                  </m:r>
                  <m:r>
                    <m:rPr>
                      <m:sty m:val="p"/>
                    </m:rPr>
                    <m:t>=</m:t>
                  </m:r>
                  <m:r>
                    <m:t>1</m:t>
                  </m:r>
                </m:sub>
                <m:sup>
                  <m:r>
                    <m:t>n</m:t>
                  </m:r>
                </m:sup>
                <m:e>
                  <m:nary>
                    <m:naryPr>
                      <m:chr m:val="∫"/>
                      <m:limLoc m:val="subSup"/>
                      <m:subHide m:val="off"/>
                      <m:supHide m:val="off"/>
                    </m:naryPr>
                    <m:sub>
                      <m:r>
                        <m:rPr>
                          <m:sty m:val="p"/>
                        </m:rPr>
                        <m:t>−</m:t>
                      </m:r>
                      <m:r>
                        <m:rPr>
                          <m:sty m:val="p"/>
                        </m:rPr>
                        <m:t>∞</m:t>
                      </m:r>
                    </m:sub>
                    <m:sup>
                      <m:r>
                        <m:rPr>
                          <m:sty m:val="p"/>
                        </m:rPr>
                        <m:t>∞</m:t>
                      </m:r>
                    </m:sup>
                    <m:e>
                      <m:sSub>
                        <m:e>
                          <m:r>
                            <m:t>f</m:t>
                          </m:r>
                        </m:e>
                        <m:sub>
                          <m:r>
                            <m:t>X</m:t>
                          </m:r>
                          <m:r>
                            <m:rPr>
                              <m:sty m:val="p"/>
                            </m:rPr>
                            <m:t>|</m:t>
                          </m:r>
                          <m:r>
                            <m:t>Y</m:t>
                          </m:r>
                          <m:r>
                            <m:rPr>
                              <m:sty m:val="p"/>
                            </m:rPr>
                            <m:t>=</m:t>
                          </m:r>
                          <m:r>
                            <m:t>y</m:t>
                          </m:r>
                        </m:sub>
                      </m:sSub>
                    </m:e>
                  </m:nary>
                </m:e>
              </m:nary>
              <m:d>
                <m:dPr>
                  <m:begChr m:val="("/>
                  <m:endChr m:val=")"/>
                  <m:sepChr m:val=""/>
                  <m:grow/>
                </m:dPr>
                <m:e>
                  <m:r>
                    <m:t>x</m:t>
                  </m:r>
                  <m:r>
                    <m:rPr>
                      <m:sty m:val="p"/>
                    </m:rPr>
                    <m:t>|</m:t>
                  </m:r>
                  <m:r>
                    <m:t>u</m:t>
                  </m:r>
                </m:e>
              </m:d>
              <m:sSub>
                <m:e>
                  <m:r>
                    <m:t>f</m:t>
                  </m:r>
                </m:e>
                <m:sub>
                  <m:r>
                    <m:t>Y</m:t>
                  </m:r>
                </m:sub>
              </m:sSub>
              <m:d>
                <m:dPr>
                  <m:begChr m:val="("/>
                  <m:endChr m:val=")"/>
                  <m:sepChr m:val=""/>
                  <m:grow/>
                </m:dPr>
                <m:e>
                  <m:r>
                    <m:t>u</m:t>
                  </m:r>
                </m:e>
              </m:d>
              <m:r>
                <m:t>d</m:t>
              </m:r>
              <m:r>
                <m:t>u</m:t>
              </m:r>
            </m:den>
          </m:f>
        </m:oMath>
      </m:oMathPara>
    </w:p>
    <w:bookmarkEnd w:id="29"/>
    <w:bookmarkEnd w:id="30"/>
    <w:bookmarkStart w:id="43" w:name="probabilistic-models"/>
    <w:p>
      <w:pPr>
        <w:pStyle w:val="Heading2"/>
      </w:pPr>
      <w:r>
        <w:t xml:space="preserve">Probabilistic Models</w:t>
      </w:r>
    </w:p>
    <w:p>
      <w:pPr>
        <w:pStyle w:val="FirstParagraph"/>
      </w:pPr>
      <w:r>
        <w:t xml:space="preserve">Bayes’s theorem gets us the posterior probability given the data with a prior. Therefore, for classification tasks in machine learning, we can use Bayesin style models for classification by maximizing the numerator and minimizing the denominator in the previous equation, for any given class. For instance, say we have a</w:t>
      </w:r>
      <w:r>
        <w:t xml:space="preserve"> </w:t>
      </w:r>
      <m:oMath>
        <m:r>
          <m:t>d</m:t>
        </m:r>
        <m:r>
          <m:rPr>
            <m:sty m:val="p"/>
          </m:rPr>
          <m:t>−</m:t>
        </m:r>
      </m:oMath>
      <w:r>
        <w:t xml:space="preserve"> </w:t>
      </w:r>
      <w:r>
        <w:t xml:space="preserve">dimensional data collected as a random matrix</w:t>
      </w:r>
      <w:r>
        <w:t xml:space="preserve"> </w:t>
      </w:r>
      <m:oMath>
        <m:r>
          <m:t>X</m:t>
        </m:r>
      </m:oMath>
      <w:r>
        <w:t xml:space="preserve"> </w:t>
      </w:r>
      <w:r>
        <w:t xml:space="preserve">and the response variable</w:t>
      </w:r>
      <w:r>
        <w:t xml:space="preserve"> </w:t>
      </w:r>
      <m:oMath>
        <m:r>
          <m:t>y</m:t>
        </m:r>
      </m:oMath>
      <w:r>
        <w:t xml:space="preserve"> </w:t>
      </w:r>
      <w:r>
        <w:t xml:space="preserve">is a categorical one with</w:t>
      </w:r>
      <w:r>
        <w:t xml:space="preserve"> </w:t>
      </w:r>
      <m:oMath>
        <m:r>
          <m:t>c</m:t>
        </m:r>
      </m:oMath>
      <w:r>
        <w:t xml:space="preserve"> </w:t>
      </w:r>
      <w:r>
        <w:t xml:space="preserve">categories. Then for a given data vector</w:t>
      </w:r>
      <w:r>
        <w:t xml:space="preserve"> </w:t>
      </w:r>
      <m:oMath>
        <m:r>
          <m:t>X</m:t>
        </m:r>
        <m:r>
          <m:rPr>
            <m:sty m:val="p"/>
          </m:rPr>
          <m:t>′</m:t>
        </m:r>
      </m:oMath>
      <w:r>
        <w:t xml:space="preserve">, the posterior distibution that it falls for category</w:t>
      </w:r>
      <w:r>
        <w:t xml:space="preserve"> </w:t>
      </w:r>
      <m:oMath>
        <m:r>
          <m:t>j</m:t>
        </m:r>
      </m:oMath>
      <w:r>
        <w:t xml:space="preserve"> </w:t>
      </w:r>
      <w:r>
        <w:t xml:space="preserve">is given as</w:t>
      </w:r>
    </w:p>
    <w:p>
      <w:pPr>
        <w:pStyle w:val="BodyText"/>
      </w:pPr>
      <m:oMathPara>
        <m:oMathParaPr>
          <m:jc m:val="center"/>
        </m:oMathParaPr>
        <m:oMath>
          <m:r>
            <m:rPr>
              <m:sty m:val="p"/>
              <m:scr m:val="double-struck"/>
            </m:rPr>
            <m:t>P</m:t>
          </m:r>
          <m:d>
            <m:dPr>
              <m:begChr m:val="("/>
              <m:endChr m:val=")"/>
              <m:sepChr m:val=""/>
              <m:grow/>
            </m:dPr>
            <m:e>
              <m:r>
                <m:t>y</m:t>
              </m:r>
              <m:r>
                <m:rPr>
                  <m:sty m:val="p"/>
                </m:rPr>
                <m:t>=</m:t>
              </m:r>
              <m:r>
                <m:t>j</m:t>
              </m:r>
              <m:r>
                <m:rPr>
                  <m:sty m:val="p"/>
                </m:rPr>
                <m:t>|</m:t>
              </m:r>
              <m:r>
                <m:t>X</m:t>
              </m:r>
              <m:r>
                <m:rPr>
                  <m:sty m:val="p"/>
                </m:rPr>
                <m:t>=</m:t>
              </m:r>
              <m:r>
                <m:t>X</m:t>
              </m:r>
              <m:r>
                <m:rPr>
                  <m:sty m:val="p"/>
                </m:rPr>
                <m:t>′</m:t>
              </m:r>
            </m:e>
          </m:d>
          <m:r>
            <m:rPr>
              <m:sty m:val="p"/>
            </m:rPr>
            <m:t>=</m:t>
          </m:r>
          <m:f>
            <m:fPr>
              <m:type m:val="bar"/>
            </m:fPr>
            <m:num>
              <m:sSub>
                <m:e>
                  <m:r>
                    <m:t>π</m:t>
                  </m:r>
                </m:e>
                <m:sub>
                  <m:r>
                    <m:t>j</m:t>
                  </m:r>
                </m:sub>
              </m:sSub>
              <m:sSub>
                <m:e>
                  <m:r>
                    <m:t>f</m:t>
                  </m:r>
                </m:e>
                <m:sub>
                  <m:r>
                    <m:t>j</m:t>
                  </m:r>
                </m:sub>
              </m:sSub>
              <m:d>
                <m:dPr>
                  <m:begChr m:val="("/>
                  <m:endChr m:val=")"/>
                  <m:sepChr m:val=""/>
                  <m:grow/>
                </m:dPr>
                <m:e>
                  <m:r>
                    <m:t>X</m:t>
                  </m:r>
                  <m:r>
                    <m:rPr>
                      <m:sty m:val="p"/>
                    </m:rPr>
                    <m:t>′</m:t>
                  </m:r>
                </m:e>
              </m:d>
            </m:num>
            <m:den>
              <m:nary>
                <m:naryPr>
                  <m:chr m:val="∑"/>
                  <m:limLoc m:val="undOvr"/>
                  <m:subHide m:val="off"/>
                  <m:supHide m:val="off"/>
                </m:naryPr>
                <m:sub>
                  <m:r>
                    <m:t>i</m:t>
                  </m:r>
                  <m:r>
                    <m:rPr>
                      <m:sty m:val="p"/>
                    </m:rPr>
                    <m:t>=</m:t>
                  </m:r>
                  <m:r>
                    <m:t>1</m:t>
                  </m:r>
                </m:sub>
                <m:sup>
                  <m:r>
                    <m:t>c</m:t>
                  </m:r>
                </m:sup>
                <m:e>
                  <m:sSub>
                    <m:e>
                      <m:r>
                        <m:t>π</m:t>
                      </m:r>
                    </m:e>
                    <m:sub>
                      <m:r>
                        <m:t>i</m:t>
                      </m:r>
                    </m:sub>
                  </m:sSub>
                </m:e>
              </m:nary>
              <m:sSub>
                <m:e>
                  <m:r>
                    <m:t>f</m:t>
                  </m:r>
                </m:e>
                <m:sub>
                  <m:r>
                    <m:t>i</m:t>
                  </m:r>
                </m:sub>
              </m:sSub>
              <m:d>
                <m:dPr>
                  <m:begChr m:val="("/>
                  <m:endChr m:val=")"/>
                  <m:sepChr m:val=""/>
                  <m:grow/>
                </m:dPr>
                <m:e>
                  <m:r>
                    <m:t>X</m:t>
                  </m:r>
                  <m:r>
                    <m:rPr>
                      <m:sty m:val="p"/>
                    </m:rPr>
                    <m:t>′</m:t>
                  </m:r>
                </m:e>
              </m:d>
            </m:den>
          </m:f>
        </m:oMath>
      </m:oMathPara>
    </w:p>
    <w:p>
      <w:pPr>
        <w:pStyle w:val="FirstParagraph"/>
      </w:pPr>
      <w:r>
        <w:t xml:space="preserve">where,</w:t>
      </w:r>
    </w:p>
    <w:p>
      <w:pPr>
        <w:pStyle w:val="Compact"/>
        <w:numPr>
          <w:ilvl w:val="0"/>
          <w:numId w:val="1002"/>
        </w:numPr>
      </w:pPr>
      <m:oMath>
        <m:sSub>
          <m:e>
            <m:r>
              <m:t>f</m:t>
            </m:r>
          </m:e>
          <m:sub>
            <m:r>
              <m:t>i</m:t>
            </m:r>
          </m:sub>
        </m:sSub>
        <m:d>
          <m:dPr>
            <m:begChr m:val="("/>
            <m:endChr m:val=")"/>
            <m:sepChr m:val=""/>
            <m:grow/>
          </m:dPr>
          <m:e>
            <m:r>
              <m:t>X</m:t>
            </m:r>
          </m:e>
        </m:d>
      </m:oMath>
      <w:r>
        <w:t xml:space="preserve"> </w:t>
      </w:r>
      <w:r>
        <w:t xml:space="preserve">is the probability density function of the features conditioned on</w:t>
      </w:r>
      <w:r>
        <w:t xml:space="preserve"> </w:t>
      </w:r>
      <m:oMath>
        <m:r>
          <m:t>y</m:t>
        </m:r>
      </m:oMath>
      <w:r>
        <w:t xml:space="preserve"> </w:t>
      </w:r>
      <w:r>
        <w:t xml:space="preserve">being class</w:t>
      </w:r>
      <w:r>
        <w:t xml:space="preserve"> </w:t>
      </w:r>
      <m:oMath>
        <m:r>
          <m:t>i</m:t>
        </m:r>
      </m:oMath>
      <w:r>
        <w:br/>
      </w:r>
    </w:p>
    <w:p>
      <w:pPr>
        <w:pStyle w:val="Compact"/>
        <w:numPr>
          <w:ilvl w:val="0"/>
          <w:numId w:val="1002"/>
        </w:numPr>
      </w:pPr>
      <m:oMath>
        <m:sSub>
          <m:e>
            <m:r>
              <m:t>π</m:t>
            </m:r>
          </m:e>
          <m:sub>
            <m:r>
              <m:t>i</m:t>
            </m:r>
          </m:sub>
        </m:sSub>
        <m:r>
          <m:rPr>
            <m:sty m:val="p"/>
          </m:rPr>
          <m:t>=</m:t>
        </m:r>
        <m:r>
          <m:rPr>
            <m:sty m:val="p"/>
            <m:scr m:val="double-struck"/>
          </m:rPr>
          <m:t>P</m:t>
        </m:r>
        <m:d>
          <m:dPr>
            <m:begChr m:val="("/>
            <m:endChr m:val=")"/>
            <m:sepChr m:val=""/>
            <m:grow/>
          </m:dPr>
          <m:e>
            <m:r>
              <m:t>y</m:t>
            </m:r>
            <m:r>
              <m:rPr>
                <m:sty m:val="p"/>
              </m:rPr>
              <m:t>=</m:t>
            </m:r>
            <m:r>
              <m:t>i</m:t>
            </m:r>
          </m:e>
        </m:d>
      </m:oMath>
    </w:p>
    <w:p>
      <w:pPr>
        <w:pStyle w:val="FirstParagraph"/>
      </w:pPr>
      <w:r>
        <w:t xml:space="preserve">We can estimate</w:t>
      </w:r>
      <w:r>
        <w:t xml:space="preserve"> </w:t>
      </w:r>
      <m:oMath>
        <m:sSub>
          <m:e>
            <m:r>
              <m:t>π</m:t>
            </m:r>
          </m:e>
          <m:sub>
            <m:r>
              <m:t>i</m:t>
            </m:r>
          </m:sub>
        </m:sSub>
      </m:oMath>
      <w:r>
        <w:t xml:space="preserve"> </w:t>
      </w:r>
      <w:r>
        <w:t xml:space="preserve">as the fraction of observations which belong to class</w:t>
      </w:r>
      <w:r>
        <w:t xml:space="preserve"> </w:t>
      </w:r>
      <m:oMath>
        <m:r>
          <m:t>i</m:t>
        </m:r>
      </m:oMath>
      <w:r>
        <w:t xml:space="preserve">.</w:t>
      </w:r>
    </w:p>
    <w:bookmarkStart w:id="35" w:name="linear-discriminant-analysis-lda"/>
    <w:p>
      <w:pPr>
        <w:pStyle w:val="Heading3"/>
      </w:pPr>
      <w:r>
        <w:t xml:space="preserve">Linear Discriminant Analysis (LDA)</w:t>
      </w:r>
    </w:p>
    <w:p>
      <w:pPr>
        <w:pStyle w:val="FirstParagraph"/>
      </w:pPr>
      <w:r>
        <w:t xml:space="preserve">To connect Linear Discriminant Analysis (LDA) with the Bayesian probabilistic classification, we start by considering the Bayes Theorem and the assumptions made in LDA. We adapt the Bayes theorem for classification as follows</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Where:</w:t>
      </w:r>
    </w:p>
    <w:p>
      <w:pPr>
        <w:pStyle w:val="Compact"/>
        <w:numPr>
          <w:ilvl w:val="0"/>
          <w:numId w:val="1003"/>
        </w:numPr>
      </w:pPr>
      <m:oMath>
        <m:r>
          <m:t>P</m:t>
        </m:r>
        <m:d>
          <m:dPr>
            <m:begChr m:val="("/>
            <m:endChr m:val=")"/>
            <m:sepChr m:val=""/>
            <m:grow/>
          </m:dPr>
          <m:e>
            <m:sSub>
              <m:e>
                <m:r>
                  <m:t>C</m:t>
                </m:r>
              </m:e>
              <m:sub>
                <m:r>
                  <m:t>k</m:t>
                </m:r>
              </m:sub>
            </m:sSub>
            <m:r>
              <m:rPr>
                <m:sty m:val="p"/>
              </m:rPr>
              <m:t>|</m:t>
            </m:r>
            <m:r>
              <m:rPr>
                <m:sty m:val="b"/>
              </m:rPr>
              <m:t>x</m:t>
            </m:r>
          </m:e>
        </m:d>
      </m:oMath>
      <w:r>
        <w:t xml:space="preserve"> </w:t>
      </w:r>
      <w:r>
        <w:t xml:space="preserve">is the posterior probability that</w:t>
      </w:r>
      <w:r>
        <w:t xml:space="preserve"> </w:t>
      </w:r>
      <m:oMath>
        <m:r>
          <m:rPr>
            <m:sty m:val="b"/>
          </m:rPr>
          <m:t>x</m:t>
        </m:r>
      </m:oMath>
      <w:r>
        <w:t xml:space="preserve"> </w:t>
      </w:r>
      <w:r>
        <w:t xml:space="preserve">belongs to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r>
              <m:rPr>
                <m:sty m:val="p"/>
              </m:rPr>
              <m:t>|</m:t>
            </m:r>
            <m:sSub>
              <m:e>
                <m:r>
                  <m:t>C</m:t>
                </m:r>
              </m:e>
              <m:sub>
                <m:r>
                  <m:t>k</m:t>
                </m:r>
              </m:sub>
            </m:sSub>
          </m:e>
        </m:d>
      </m:oMath>
      <w:r>
        <w:t xml:space="preserve"> </w:t>
      </w:r>
      <w:r>
        <w:t xml:space="preserve">is the likelihood (the probability of observing</w:t>
      </w:r>
      <w:r>
        <w:t xml:space="preserve"> </w:t>
      </w:r>
      <m:oMath>
        <m:r>
          <m:rPr>
            <m:sty m:val="b"/>
          </m:rPr>
          <m:t>x</m:t>
        </m:r>
      </m:oMath>
      <w:r>
        <w:t xml:space="preserve"> </w:t>
      </w:r>
      <w:r>
        <w:t xml:space="preserve">given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sSub>
              <m:e>
                <m:r>
                  <m:t>C</m:t>
                </m:r>
              </m:e>
              <m:sub>
                <m:r>
                  <m:t>k</m:t>
                </m:r>
              </m:sub>
            </m:sSub>
          </m:e>
        </m:d>
      </m:oMath>
      <w:r>
        <w:t xml:space="preserve"> </w:t>
      </w:r>
      <w:r>
        <w:t xml:space="preserve">is the prior probability of class</w:t>
      </w:r>
      <w:r>
        <w:t xml:space="preserve"> </w:t>
      </w:r>
      <m:oMath>
        <m:sSub>
          <m:e>
            <m:r>
              <m:t>C</m:t>
            </m:r>
          </m:e>
          <m:sub>
            <m:r>
              <m:t>k</m:t>
            </m:r>
          </m:sub>
        </m:sSub>
      </m:oMath>
      <w:r>
        <w:t xml:space="preserve">,</w:t>
      </w:r>
    </w:p>
    <w:p>
      <w:pPr>
        <w:pStyle w:val="Compact"/>
        <w:numPr>
          <w:ilvl w:val="0"/>
          <w:numId w:val="1003"/>
        </w:numPr>
      </w:pPr>
      <m:oMath>
        <m:r>
          <m:t>P</m:t>
        </m:r>
        <m:d>
          <m:dPr>
            <m:begChr m:val="("/>
            <m:endChr m:val=")"/>
            <m:sepChr m:val=""/>
            <m:grow/>
          </m:dPr>
          <m:e>
            <m:r>
              <m:rPr>
                <m:sty m:val="b"/>
              </m:rPr>
              <m:t>x</m:t>
            </m:r>
          </m:e>
        </m:d>
      </m:oMath>
      <w:r>
        <w:t xml:space="preserve"> </w:t>
      </w:r>
      <w:r>
        <w:t xml:space="preserve">is the marginal likelihood (normalizing constant).</w:t>
      </w:r>
    </w:p>
    <w:bookmarkStart w:id="31" w:name="gaussian-assumption-in-lda"/>
    <w:p>
      <w:pPr>
        <w:pStyle w:val="Heading4"/>
      </w:pPr>
      <w:r>
        <w:t xml:space="preserve">Gaussian Assumption in LDA</w:t>
      </w:r>
    </w:p>
    <w:p>
      <w:pPr>
        <w:pStyle w:val="FirstParagraph"/>
      </w:pPr>
      <w:r>
        <w:t xml:space="preserve">LDA assumes that:</w:t>
      </w:r>
    </w:p>
    <w:p>
      <w:pPr>
        <w:pStyle w:val="Compact"/>
        <w:numPr>
          <w:ilvl w:val="0"/>
          <w:numId w:val="1004"/>
        </w:numPr>
      </w:pPr>
      <w:r>
        <w:t xml:space="preserve">The likelihood for each class follows a Gaussian distribution with a common covariance matrix</w:t>
      </w:r>
      <w:r>
        <w:t xml:space="preserve"> </w:t>
      </w:r>
      <m:oMath>
        <m:r>
          <m:t>Σ</m:t>
        </m:r>
      </m:oMath>
      <w:r>
        <w:t xml:space="preserve">, i.e.,</w:t>
      </w:r>
    </w:p>
    <w:p>
      <w:pPr>
        <w:pStyle w:val="FirstParagraph"/>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p>
                <m:e>
                  <m:r>
                    <m:t>Σ</m:t>
                  </m:r>
                </m:e>
                <m:sup>
                  <m:r>
                    <m:rPr>
                      <m:sty m:val="p"/>
                    </m:rPr>
                    <m:t>−</m:t>
                  </m:r>
                  <m:r>
                    <m:t>1</m:t>
                  </m:r>
                </m:sup>
              </m:s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r>
        <w:t xml:space="preserve"> </w:t>
      </w:r>
      <m:oMath>
        <m:sSub>
          <m:e>
            <m:r>
              <m:rPr>
                <m:sty m:val="b"/>
              </m:rPr>
              <m:t>μ</m:t>
            </m:r>
          </m:e>
          <m:sub>
            <m:r>
              <m:t>k</m:t>
            </m:r>
          </m:sub>
        </m:sSub>
      </m:oMath>
      <w:r>
        <w:t xml:space="preserve"> </w:t>
      </w:r>
      <w:r>
        <w:t xml:space="preserve">is the mean of class</w:t>
      </w:r>
      <w:r>
        <w:t xml:space="preserve"> </w:t>
      </w:r>
      <m:oMath>
        <m:sSub>
          <m:e>
            <m:r>
              <m:t>C</m:t>
            </m:r>
          </m:e>
          <m:sub>
            <m:r>
              <m:t>k</m:t>
            </m:r>
          </m:sub>
        </m:sSub>
      </m:oMath>
      <w:r>
        <w:t xml:space="preserve"> </w:t>
      </w:r>
      <w:r>
        <w:t xml:space="preserve">and</w:t>
      </w:r>
      <w:r>
        <w:t xml:space="preserve"> </w:t>
      </w:r>
      <m:oMath>
        <m:r>
          <m:t>Σ</m:t>
        </m:r>
      </m:oMath>
      <w:r>
        <w:t xml:space="preserve"> </w:t>
      </w:r>
      <w:r>
        <w:t xml:space="preserve">is the shared covariance matrix. Now let’s talk about</w:t>
      </w:r>
      <w:r>
        <w:t xml:space="preserve"> </w:t>
      </w:r>
      <m:oMath>
        <m:sSub>
          <m:e>
            <m:r>
              <m:rPr>
                <m:sty m:val="b"/>
              </m:rPr>
              <m:t>μ</m:t>
            </m:r>
          </m:e>
          <m:sub>
            <m:r>
              <m:t>k</m:t>
            </m:r>
          </m:sub>
        </m:sSub>
      </m:oMath>
      <w:r>
        <w:t xml:space="preserve"> </w:t>
      </w:r>
      <w:r>
        <w:t xml:space="preserve">and</w:t>
      </w:r>
      <w:r>
        <w:t xml:space="preserve"> </w:t>
      </w:r>
      <m:oMath>
        <m:r>
          <m:t>Σ</m:t>
        </m:r>
      </m:oMath>
      <w:r>
        <w:t xml:space="preserve">.</w:t>
      </w:r>
    </w:p>
    <w:p>
      <w:pPr>
        <w:pStyle w:val="BodyText"/>
      </w:pPr>
      <w:r>
        <w:rPr>
          <w:b/>
          <w:bCs/>
        </w:rPr>
        <w:t xml:space="preserve">One feature or dimension</w:t>
      </w:r>
      <w:r>
        <w:br/>
      </w:r>
      <w:r>
        <w:t xml:space="preserve">For a single feature</w:t>
      </w:r>
      <w:r>
        <w:t xml:space="preserve"> </w:t>
      </w:r>
      <m:oMath>
        <m:r>
          <m:t>x</m:t>
        </m:r>
      </m:oMath>
      <w:r>
        <w:t xml:space="preserve"> </w:t>
      </w:r>
      <w:r>
        <w:t xml:space="preserve">and</w:t>
      </w:r>
      <w:r>
        <w:t xml:space="preserve"> </w:t>
      </w:r>
      <m:oMath>
        <m:sSub>
          <m:e>
            <m:r>
              <m:t>N</m:t>
            </m:r>
          </m:e>
          <m:sub>
            <m:r>
              <m:t>k</m:t>
            </m:r>
          </m:sub>
        </m:sSub>
      </m:oMath>
      <w:r>
        <w:t xml:space="preserve"> </w:t>
      </w:r>
      <w:r>
        <w:t xml:space="preserve">samples</w:t>
      </w:r>
      <w:r>
        <w:t xml:space="preserve"> </w:t>
      </w:r>
      <m:oMath>
        <m:sSub>
          <m:e>
            <m:r>
              <m:t>x</m:t>
            </m:r>
          </m:e>
          <m:sub>
            <m:r>
              <m:t>k</m:t>
            </m:r>
            <m:r>
              <m:rPr>
                <m:sty m:val="p"/>
              </m:rPr>
              <m:t>,</m:t>
            </m:r>
            <m:r>
              <m:t>1</m:t>
            </m:r>
          </m:sub>
        </m:sSub>
        <m:r>
          <m:rPr>
            <m:sty m:val="p"/>
          </m:rPr>
          <m:t>,</m:t>
        </m:r>
        <m:sSub>
          <m:e>
            <m:r>
              <m:t>x</m:t>
            </m:r>
          </m:e>
          <m:sub>
            <m:r>
              <m:t>k</m:t>
            </m:r>
            <m:r>
              <m:rPr>
                <m:sty m:val="p"/>
              </m:rPr>
              <m:t>,</m:t>
            </m:r>
            <m:r>
              <m:t>2</m:t>
            </m:r>
          </m:sub>
        </m:sSub>
        <m:r>
          <m:rPr>
            <m:sty m:val="p"/>
          </m:rPr>
          <m:t>,</m:t>
        </m:r>
        <m:r>
          <m:rPr>
            <m:sty m:val="p"/>
          </m:rPr>
          <m:t>…</m:t>
        </m:r>
        <m:r>
          <m:rPr>
            <m:sty m:val="p"/>
          </m:rPr>
          <m:t>,</m:t>
        </m:r>
        <m:sSub>
          <m:e>
            <m:r>
              <m:t>x</m:t>
            </m:r>
          </m:e>
          <m:sub>
            <m:r>
              <m:t>k</m:t>
            </m:r>
            <m:r>
              <m:rPr>
                <m:sty m:val="p"/>
              </m:rPr>
              <m:t>,</m:t>
            </m:r>
            <m:r>
              <m:t>N</m:t>
            </m:r>
          </m:sub>
        </m:sSub>
      </m:oMath>
      <w:r>
        <w:t xml:space="preserve"> </w:t>
      </w:r>
      <w:r>
        <w:t xml:space="preserve">for class</w:t>
      </w:r>
      <w:r>
        <w:t xml:space="preserve"> </w:t>
      </w:r>
      <m:oMath>
        <m:sSub>
          <m:e>
            <m:r>
              <m:t>C</m:t>
            </m:r>
          </m:e>
          <m:sub>
            <m:r>
              <m:t>k</m:t>
            </m:r>
          </m:sub>
        </m:sSub>
      </m:oMath>
      <w:r>
        <w:t xml:space="preserve">, the mean</w:t>
      </w:r>
      <w:r>
        <w:t xml:space="preserve"> </w:t>
      </w:r>
      <m:oMath>
        <m:sSub>
          <m:e>
            <m:r>
              <m:t>μ</m:t>
            </m:r>
          </m:e>
          <m:sub>
            <m:r>
              <m:t>k</m:t>
            </m:r>
          </m:sub>
        </m:sSub>
      </m:oMath>
      <w:r>
        <w:t xml:space="preserve">:</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t>x</m:t>
                  </m:r>
                </m:e>
                <m:sub>
                  <m:r>
                    <m:t>k</m:t>
                  </m:r>
                  <m:r>
                    <m:rPr>
                      <m:sty m:val="p"/>
                    </m:rPr>
                    <m:t>,</m:t>
                  </m:r>
                  <m:r>
                    <m:t>i</m:t>
                  </m:r>
                </m:sub>
              </m:sSub>
            </m:e>
          </m:nary>
        </m:oMath>
      </m:oMathPara>
    </w:p>
    <w:p>
      <w:pPr>
        <w:pStyle w:val="FirstParagraph"/>
      </w:pPr>
      <w:r>
        <w:t xml:space="preserve">and variance</w:t>
      </w:r>
      <w:r>
        <w:t xml:space="preserve"> </w:t>
      </w:r>
      <m:oMath>
        <m:sSup>
          <m:e>
            <m:r>
              <m:t>σ</m:t>
            </m:r>
          </m:e>
          <m:sup>
            <m:r>
              <m:t>2</m:t>
            </m:r>
          </m:sup>
        </m:sSup>
      </m:oMath>
      <w:r>
        <w:t xml:space="preserve"> </w:t>
      </w:r>
      <w:r>
        <w:t xml:space="preserve">is calculated as the variance within-class variance</w:t>
      </w:r>
      <w:r>
        <w:t xml:space="preserve"> </w:t>
      </w:r>
      <m:oMath>
        <m:sSubSup>
          <m:e>
            <m:r>
              <m:t>σ</m:t>
            </m:r>
          </m:e>
          <m:sub>
            <m:r>
              <m:t>k</m:t>
            </m:r>
          </m:sub>
          <m:sup>
            <m:r>
              <m:t>2</m:t>
            </m:r>
          </m:sup>
        </m:sSubSup>
      </m:oMath>
      <w:r>
        <w:t xml:space="preserve"> </w:t>
      </w:r>
      <w:r>
        <w:t xml:space="preserve">for each class</w:t>
      </w:r>
    </w:p>
    <w:p>
      <w:pPr>
        <w:pStyle w:val="BodyText"/>
      </w:pPr>
      <m:oMathPara>
        <m:oMathParaPr>
          <m:jc m:val="center"/>
        </m:oMathParaPr>
        <m:oMath>
          <m:sSubSup>
            <m:e>
              <m:r>
                <m:t>σ</m:t>
              </m:r>
            </m:e>
            <m:sub>
              <m:r>
                <m:t>k</m:t>
              </m:r>
            </m:sub>
            <m:sup>
              <m:r>
                <m:t>2</m:t>
              </m:r>
            </m:sup>
          </m:sSubSup>
          <m:r>
            <m:rPr>
              <m:sty m:val="p"/>
            </m:rPr>
            <m:t>=</m:t>
          </m:r>
          <m:f>
            <m:fPr>
              <m:type m:val="bar"/>
            </m:fPr>
            <m:num>
              <m:r>
                <m:t>1</m:t>
              </m:r>
            </m:num>
            <m:den>
              <m:sSub>
                <m:e>
                  <m:r>
                    <m:t>N</m:t>
                  </m:r>
                </m:e>
                <m:sub>
                  <m:r>
                    <m:t>k</m:t>
                  </m:r>
                </m:sub>
              </m:sSub>
              <m:r>
                <m:rPr>
                  <m:sty m:val="p"/>
                </m:rPr>
                <m:t>−</m:t>
              </m:r>
              <m:r>
                <m:t>1</m:t>
              </m:r>
            </m:den>
          </m:f>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oMath>
      </m:oMathPara>
    </w:p>
    <w:p>
      <w:pPr>
        <w:pStyle w:val="FirstParagraph"/>
      </w:pPr>
      <w:r>
        <w:t xml:space="preserve">and then the pooled variance</w:t>
      </w:r>
      <w:r>
        <w:t xml:space="preserve"> </w:t>
      </w:r>
      <m:oMath>
        <m:sSup>
          <m:e>
            <m:r>
              <m:t>σ</m:t>
            </m:r>
          </m:e>
          <m:sup>
            <m:r>
              <m:t>2</m:t>
            </m:r>
          </m:sup>
        </m:sSup>
      </m:oMath>
      <w:r>
        <w:t xml:space="preserve"> </w:t>
      </w:r>
      <w:r>
        <w:t xml:space="preserve">is calculated by averaging these variances, weighted by the degrees of freedom in each class:</w:t>
      </w:r>
    </w:p>
    <w:p>
      <w:pPr>
        <w:pStyle w:val="BodyText"/>
      </w:pPr>
      <m:oMathPara>
        <m:oMathParaPr>
          <m:jc m:val="center"/>
        </m:oMathParaPr>
        <m:oMath>
          <m:sSup>
            <m:e>
              <m:r>
                <m:t>σ</m:t>
              </m:r>
            </m:e>
            <m:sup>
              <m:r>
                <m:t>2</m:t>
              </m:r>
            </m:sup>
          </m:sSup>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sSup>
                    <m:e>
                      <m:d>
                        <m:dPr>
                          <m:begChr m:val="("/>
                          <m:endChr m:val=")"/>
                          <m:sepChr m:val=""/>
                          <m:grow/>
                        </m:dPr>
                        <m:e>
                          <m:sSub>
                            <m:e>
                              <m:r>
                                <m:t>x</m:t>
                              </m:r>
                            </m:e>
                            <m:sub>
                              <m:r>
                                <m:t>k</m:t>
                              </m:r>
                              <m:r>
                                <m:rPr>
                                  <m:sty m:val="p"/>
                                </m:rPr>
                                <m:t>,</m:t>
                              </m:r>
                              <m:r>
                                <m:t>i</m:t>
                              </m:r>
                            </m:sub>
                          </m:sSub>
                          <m:r>
                            <m:rPr>
                              <m:sty m:val="p"/>
                            </m:rPr>
                            <m:t>−</m:t>
                          </m:r>
                          <m:sSub>
                            <m:e>
                              <m:r>
                                <m:t>μ</m:t>
                              </m:r>
                            </m:e>
                            <m:sub>
                              <m:r>
                                <m:t>k</m:t>
                              </m:r>
                            </m:sub>
                          </m:sSub>
                        </m:e>
                      </m:d>
                    </m:e>
                    <m:sup>
                      <m:r>
                        <m:t>2</m:t>
                      </m:r>
                    </m:sup>
                  </m:sSup>
                </m:e>
              </m:nary>
            </m:e>
          </m:nary>
        </m:oMath>
      </m:oMathPara>
    </w:p>
    <w:p>
      <w:pPr>
        <w:pStyle w:val="FirstParagraph"/>
      </w:pPr>
      <w:r>
        <w:t xml:space="preserve">where,</w:t>
      </w:r>
      <w:r>
        <w:t xml:space="preserve"> </w:t>
      </w:r>
      <m:oMath>
        <m:r>
          <m:t>n</m:t>
        </m:r>
      </m:oMath>
      <w:r>
        <w:t xml:space="preserve"> </w:t>
      </w:r>
      <w:r>
        <w:t xml:space="preserve">is the total number of samples accross all classes,</w:t>
      </w:r>
      <w:r>
        <w:t xml:space="preserve"> </w:t>
      </w:r>
      <m:oMath>
        <m:r>
          <m:rPr>
            <m:sty m:val="p"/>
            <m:scr m:val="script"/>
          </m:rPr>
          <m:t>C</m:t>
        </m:r>
      </m:oMath>
      <w:r>
        <w:t xml:space="preserve"> </w:t>
      </w:r>
      <w:r>
        <w:t xml:space="preserve">is the number of classes, and</w:t>
      </w:r>
      <w:r>
        <w:t xml:space="preserve"> </w:t>
      </w:r>
      <m:oMath>
        <m:sSub>
          <m:e>
            <m:r>
              <m:t>x</m:t>
            </m:r>
          </m:e>
          <m:sub>
            <m:r>
              <m:t>k</m:t>
            </m:r>
            <m:r>
              <m:rPr>
                <m:sty m:val="p"/>
              </m:rPr>
              <m:t>,</m:t>
            </m:r>
            <m:r>
              <m:t>i</m:t>
            </m:r>
          </m:sub>
        </m:sSub>
      </m:oMath>
      <w:r>
        <w:t xml:space="preserve"> </w:t>
      </w:r>
      <w:r>
        <w:t xml:space="preserve">are samples from each class</w:t>
      </w:r>
      <w:r>
        <w:t xml:space="preserve"> </w:t>
      </w:r>
      <m:oMath>
        <m:sSub>
          <m:e>
            <m:r>
              <m:t>C</m:t>
            </m:r>
          </m:e>
          <m:sub>
            <m:r>
              <m:t>k</m:t>
            </m:r>
          </m:sub>
        </m:sSub>
      </m:oMath>
      <w:r>
        <w:t xml:space="preserve">.</w:t>
      </w:r>
    </w:p>
    <w:p>
      <w:pPr>
        <w:pStyle w:val="BodyText"/>
      </w:pPr>
      <w:r>
        <w:rPr>
          <w:b/>
          <w:bCs/>
        </w:rPr>
        <w:t xml:space="preserve">For multi-dimensional data</w:t>
      </w:r>
    </w:p>
    <w:p>
      <w:pPr>
        <w:pStyle w:val="BodyText"/>
      </w:pPr>
      <w:r>
        <w:t xml:space="preserve">If we have</w:t>
      </w:r>
      <w:r>
        <w:t xml:space="preserve"> </w:t>
      </w:r>
      <m:oMath>
        <m:r>
          <m:t>d</m:t>
        </m:r>
      </m:oMath>
      <w:r>
        <w:t xml:space="preserve"> </w:t>
      </w:r>
      <w:r>
        <w:t xml:space="preserve">features (e.g., if</w:t>
      </w:r>
      <w:r>
        <w:t xml:space="preserve"> </w:t>
      </w:r>
      <m:oMath>
        <m:r>
          <m:rPr>
            <m:sty m:val="b"/>
          </m:rPr>
          <m:t>x</m:t>
        </m:r>
      </m:oMath>
      <w:r>
        <w:t xml:space="preserve"> </w:t>
      </w:r>
      <w:r>
        <w:t xml:space="preserve">is a</w:t>
      </w:r>
      <w:r>
        <w:t xml:space="preserve"> </w:t>
      </w:r>
      <m:oMath>
        <m:r>
          <m:t>d</m:t>
        </m:r>
        <m:r>
          <m:rPr>
            <m:sty m:val="p"/>
          </m:rPr>
          <m:t>−</m:t>
        </m:r>
      </m:oMath>
      <w:r>
        <w:t xml:space="preserve">dimensional vector), we calculate the mean vector</w:t>
      </w:r>
      <w:r>
        <w:t xml:space="preserve"> </w:t>
      </w:r>
      <m:oMath>
        <m:sSub>
          <m:e>
            <m:r>
              <m:rPr>
                <m:sty m:val="b"/>
              </m:rPr>
              <m:t>μ</m:t>
            </m:r>
          </m:e>
          <m:sub>
            <m:r>
              <m:t>k</m:t>
            </m:r>
          </m:sub>
        </m:sSub>
      </m:oMath>
      <w:r>
        <w:t xml:space="preserve"> </w:t>
      </w:r>
      <w:r>
        <w:t xml:space="preserve">for each feature across the</w:t>
      </w:r>
      <w:r>
        <w:t xml:space="preserve"> </w:t>
      </w:r>
      <m:oMath>
        <m:sSub>
          <m:e>
            <m:r>
              <m:t>N</m:t>
            </m:r>
          </m:e>
          <m:sub>
            <m:r>
              <m:t>k</m:t>
            </m:r>
          </m:sub>
        </m:sSub>
      </m:oMath>
      <w:r>
        <w:t xml:space="preserve"> </w:t>
      </w:r>
      <w:r>
        <w:t xml:space="preserve">samples in class</w:t>
      </w:r>
      <w:r>
        <w:t xml:space="preserve"> </w:t>
      </w:r>
      <m:oMath>
        <m:sSub>
          <m:e>
            <m:r>
              <m:t>C</m:t>
            </m:r>
          </m:e>
          <m:sub>
            <m:r>
              <m:t>k</m:t>
            </m:r>
          </m:sub>
        </m:sSub>
      </m:oMath>
      <w:r>
        <w:t xml:space="preserve"> </w:t>
      </w:r>
      <w:r>
        <w:t xml:space="preserve">as follows</w:t>
      </w:r>
    </w:p>
    <w:p>
      <w:pPr>
        <w:pStyle w:val="BodyText"/>
      </w:pPr>
      <m:oMathPara>
        <m:oMathParaPr>
          <m:jc m:val="center"/>
        </m:oMathParaPr>
        <m:oMath>
          <m:sSub>
            <m:e>
              <m:r>
                <m:rPr>
                  <m:sty m:val="b"/>
                </m:rPr>
                <m:t>μ</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sSub>
                <m:e>
                  <m:r>
                    <m:rPr>
                      <m:sty m:val="b"/>
                    </m:rPr>
                    <m:t>x</m:t>
                  </m:r>
                </m:e>
                <m:sub>
                  <m:r>
                    <m:t>k</m:t>
                  </m:r>
                  <m:r>
                    <m:rPr>
                      <m:sty m:val="p"/>
                    </m:rPr>
                    <m:t>,</m:t>
                  </m:r>
                  <m:r>
                    <m:t>i</m:t>
                  </m:r>
                </m:sub>
              </m:sSub>
            </m:e>
          </m:nary>
        </m:oMath>
      </m:oMathPara>
    </w:p>
    <w:p>
      <w:pPr>
        <w:pStyle w:val="FirstParagraph"/>
      </w:pPr>
      <w:r>
        <w:t xml:space="preserve">and the covariance matrix for each class</w:t>
      </w:r>
      <w:r>
        <w:t xml:space="preserve"> </w:t>
      </w:r>
      <m:oMath>
        <m:sSub>
          <m:e>
            <m:r>
              <m:t>C</m:t>
            </m:r>
          </m:e>
          <m:sub>
            <m:r>
              <m:t>k</m:t>
            </m:r>
          </m:sub>
        </m:sSub>
      </m:oMath>
      <w:r>
        <w:t xml:space="preserve">:</w:t>
      </w:r>
    </w:p>
    <w:p>
      <w:pPr>
        <w:pStyle w:val="BodyText"/>
      </w:pPr>
      <m:oMathPara>
        <m:oMathParaPr>
          <m:jc m:val="center"/>
        </m:oMathParaPr>
        <m:oMath>
          <m:sSub>
            <m:e>
              <m:r>
                <m:t>Σ</m:t>
              </m:r>
            </m:e>
            <m:sub>
              <m:r>
                <m:t>k</m:t>
              </m:r>
            </m:sub>
          </m:sSub>
          <m:r>
            <m:rPr>
              <m:sty m:val="p"/>
            </m:rPr>
            <m:t>=</m:t>
          </m:r>
          <m:f>
            <m:fPr>
              <m:type m:val="bar"/>
            </m:fPr>
            <m:num>
              <m:r>
                <m:t>1</m:t>
              </m:r>
            </m:num>
            <m:den>
              <m:sSub>
                <m:e>
                  <m:r>
                    <m:t>N</m:t>
                  </m:r>
                </m:e>
                <m:sub>
                  <m:r>
                    <m:t>k</m:t>
                  </m:r>
                </m:sub>
              </m:sSub>
            </m:den>
          </m:f>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p>
      <w:pPr>
        <w:pStyle w:val="FirstParagraph"/>
      </w:pPr>
      <w:r>
        <w:t xml:space="preserve">Therefore, the pooled variance</w:t>
      </w:r>
    </w:p>
    <w:p>
      <w:pPr>
        <w:pStyle w:val="BodyText"/>
      </w:pPr>
      <m:oMathPara>
        <m:oMathParaPr>
          <m:jc m:val="center"/>
        </m:oMathParaPr>
        <m:oMath>
          <m:r>
            <m:t>Σ</m:t>
          </m:r>
          <m:r>
            <m:rPr>
              <m:sty m:val="p"/>
            </m:rPr>
            <m:t>=</m:t>
          </m:r>
          <m:f>
            <m:fPr>
              <m:type m:val="bar"/>
            </m:fPr>
            <m:num>
              <m:r>
                <m:t>1</m:t>
              </m:r>
            </m:num>
            <m:den>
              <m:r>
                <m:t>n</m:t>
              </m:r>
              <m:r>
                <m:rPr>
                  <m:sty m:val="p"/>
                </m:rPr>
                <m:t>−</m:t>
              </m:r>
              <m:r>
                <m:rPr>
                  <m:sty m:val="p"/>
                  <m:scr m:val="script"/>
                </m:rPr>
                <m:t>C</m:t>
              </m:r>
            </m:den>
          </m:f>
          <m:nary>
            <m:naryPr>
              <m:chr m:val="∑"/>
              <m:limLoc m:val="undOvr"/>
              <m:subHide m:val="off"/>
              <m:supHide m:val="off"/>
            </m:naryPr>
            <m:sub>
              <m:r>
                <m:t>k</m:t>
              </m:r>
              <m:r>
                <m:rPr>
                  <m:sty m:val="p"/>
                </m:rPr>
                <m:t>=</m:t>
              </m:r>
              <m:r>
                <m:t>1</m:t>
              </m:r>
            </m:sub>
            <m:sup>
              <m:r>
                <m:rPr>
                  <m:sty m:val="p"/>
                  <m:scr m:val="script"/>
                </m:rPr>
                <m:t>C</m:t>
              </m:r>
            </m:sup>
            <m:e>
              <m:nary>
                <m:naryPr>
                  <m:chr m:val="∑"/>
                  <m:limLoc m:val="undOvr"/>
                  <m:subHide m:val="off"/>
                  <m:supHide m:val="off"/>
                </m:naryPr>
                <m:sub>
                  <m:r>
                    <m:t>i</m:t>
                  </m:r>
                  <m:r>
                    <m:rPr>
                      <m:sty m:val="p"/>
                    </m:rPr>
                    <m:t>=</m:t>
                  </m:r>
                  <m:r>
                    <m:t>1</m:t>
                  </m:r>
                </m:sub>
                <m:sup>
                  <m:sSub>
                    <m:e>
                      <m:r>
                        <m:t>N</m:t>
                      </m:r>
                    </m:e>
                    <m:sub>
                      <m:r>
                        <m:t>k</m:t>
                      </m:r>
                    </m:sub>
                  </m:sSub>
                </m: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nary>
            </m:e>
          </m:nary>
          <m:sSup>
            <m:e>
              <m:d>
                <m:dPr>
                  <m:begChr m:val="("/>
                  <m:endChr m:val=")"/>
                  <m:sepChr m:val=""/>
                  <m:grow/>
                </m:dPr>
                <m:e>
                  <m:sSub>
                    <m:e>
                      <m:r>
                        <m:rPr>
                          <m:sty m:val="b"/>
                        </m:rPr>
                        <m:t>x</m:t>
                      </m:r>
                    </m:e>
                    <m:sub>
                      <m:r>
                        <m:t>k</m:t>
                      </m:r>
                      <m:r>
                        <m:rPr>
                          <m:sty m:val="p"/>
                        </m:rPr>
                        <m:t>,</m:t>
                      </m:r>
                      <m:r>
                        <m:t>i</m:t>
                      </m:r>
                    </m:sub>
                  </m:sSub>
                  <m:r>
                    <m:rPr>
                      <m:sty m:val="p"/>
                    </m:rPr>
                    <m:t>−</m:t>
                  </m:r>
                  <m:sSub>
                    <m:e>
                      <m:r>
                        <m:rPr>
                          <m:sty m:val="b"/>
                        </m:rPr>
                        <m:t>μ</m:t>
                      </m:r>
                    </m:e>
                    <m:sub>
                      <m:r>
                        <m:t>k</m:t>
                      </m:r>
                    </m:sub>
                  </m:sSub>
                </m:e>
              </m:d>
            </m:e>
            <m:sup>
              <m:r>
                <m:t>T</m:t>
              </m:r>
            </m:sup>
          </m:sSup>
        </m:oMath>
      </m:oMathPara>
    </w:p>
    <w:bookmarkEnd w:id="31"/>
    <w:bookmarkStart w:id="32" w:name="log-likelihood-ratio"/>
    <w:p>
      <w:pPr>
        <w:pStyle w:val="Heading4"/>
      </w:pPr>
      <w:r>
        <w:t xml:space="preserve">Log Likelihood Ratio</w:t>
      </w:r>
    </w:p>
    <w:p>
      <w:pPr>
        <w:pStyle w:val="FirstParagraph"/>
      </w:pPr>
      <w:r>
        <w:t xml:space="preserve">For simplicity, let’s say we have only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To derive a decision boundary, we take the ratio of the posterior probabilities for two classes</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then take the logarithm. The rationality behind this approach is when we divide a relatively bigger number by a smaller number we get a larger number and smaller number if we reverse the divison. Since we are working with the probabilities, therefore, we take logarithm.</w:t>
      </w:r>
    </w:p>
    <w:p>
      <w:pPr>
        <w:pStyle w:val="BodyText"/>
      </w:pPr>
    </w:p>
    <w:p>
      <w:pPr>
        <w:pStyle w:val="BodyText"/>
      </w:pPr>
      <w:r>
        <w:t xml:space="preserve">Using the Gaussian likelihood assumption, we expand the terms</w:t>
      </w:r>
      <w:r>
        <w:t xml:space="preserve"> </w:t>
      </w:r>
      <m:oMath>
        <m:r>
          <m:t>P</m:t>
        </m:r>
        <m:d>
          <m:dPr>
            <m:begChr m:val="("/>
            <m:endChr m:val=")"/>
            <m:sepChr m:val=""/>
            <m:grow/>
          </m:dPr>
          <m:e>
            <m:r>
              <m:rPr>
                <m:sty m:val="b"/>
              </m:rPr>
              <m:t>x</m:t>
            </m:r>
            <m:r>
              <m:rPr>
                <m:sty m:val="p"/>
              </m:rPr>
              <m:t>|</m:t>
            </m:r>
            <m:sSub>
              <m:e>
                <m:r>
                  <m:t>C</m:t>
                </m:r>
              </m:e>
              <m:sub>
                <m:r>
                  <m:t>1</m:t>
                </m:r>
              </m:sub>
            </m:sSub>
          </m:e>
        </m:d>
      </m:oMath>
      <w:r>
        <w:t xml:space="preserve"> </w:t>
      </w:r>
      <w:r>
        <w:t xml:space="preserve">and</w:t>
      </w:r>
      <w:r>
        <w:t xml:space="preserve"> </w:t>
      </w:r>
      <m:oMath>
        <m:r>
          <m:t>P</m:t>
        </m:r>
        <m:d>
          <m:dPr>
            <m:begChr m:val="("/>
            <m:endChr m:val=")"/>
            <m:sepChr m:val=""/>
            <m:grow/>
          </m:dPr>
          <m:e>
            <m:r>
              <m:rPr>
                <m:sty m:val="b"/>
              </m:rPr>
              <m:t>x</m:t>
            </m:r>
            <m:r>
              <m:rPr>
                <m:sty m:val="p"/>
              </m:rPr>
              <m:t>|</m:t>
            </m:r>
            <m:sSub>
              <m:e>
                <m:r>
                  <m:t>C</m:t>
                </m:r>
              </m:e>
              <m:sub>
                <m:r>
                  <m:t>2</m:t>
                </m:r>
              </m:sub>
            </m:sSub>
          </m:e>
        </m:d>
      </m:oMath>
      <w:r>
        <w:t xml:space="preserve">:</w:t>
      </w:r>
    </w:p>
    <w:p>
      <w:pPr>
        <w:pStyle w:val="BodyText"/>
      </w:pPr>
    </w:p>
    <w:p>
      <w:pPr>
        <w:pStyle w:val="BodyText"/>
      </w:pPr>
      <w:r>
        <w:t xml:space="preserve">Therefore, we can write</w:t>
      </w:r>
    </w:p>
    <w:p>
      <w:pPr>
        <w:pStyle w:val="BodyText"/>
      </w:pPr>
      <m:oMathPara>
        <m:oMathParaPr>
          <m:jc m:val="center"/>
        </m:oMathParaPr>
        <m:oMath>
          <m:r>
            <m:rPr>
              <m:sty m:val="p"/>
            </m:rPr>
            <m:t>log</m:t>
          </m:r>
          <m:d>
            <m:dPr>
              <m:begChr m:val="("/>
              <m:endChr m:val=")"/>
              <m:sepChr m:val=""/>
              <m:grow/>
            </m:dPr>
            <m:e>
              <m:f>
                <m:fPr>
                  <m:type m:val="bar"/>
                </m:fPr>
                <m:num>
                  <m:r>
                    <m:t>P</m:t>
                  </m:r>
                  <m:d>
                    <m:dPr>
                      <m:begChr m:val="("/>
                      <m:endChr m:val=")"/>
                      <m:sepChr m:val=""/>
                      <m:grow/>
                    </m:dPr>
                    <m:e>
                      <m:r>
                        <m:rPr>
                          <m:sty m:val="b"/>
                        </m:rPr>
                        <m:t>x</m:t>
                      </m:r>
                      <m:r>
                        <m:rPr>
                          <m:sty m:val="p"/>
                        </m:rPr>
                        <m:t>|</m:t>
                      </m:r>
                      <m:sSub>
                        <m:e>
                          <m:r>
                            <m:t>C</m:t>
                          </m:r>
                        </m:e>
                        <m:sub>
                          <m:r>
                            <m:t>1</m:t>
                          </m:r>
                        </m:sub>
                      </m:sSub>
                    </m:e>
                  </m:d>
                </m:num>
                <m:den>
                  <m:r>
                    <m:t>P</m:t>
                  </m:r>
                  <m:d>
                    <m:dPr>
                      <m:begChr m:val="("/>
                      <m:endChr m:val=")"/>
                      <m:sepChr m:val=""/>
                      <m:grow/>
                    </m:dPr>
                    <m:e>
                      <m:r>
                        <m:rPr>
                          <m:sty m:val="b"/>
                        </m:rPr>
                        <m:t>x</m:t>
                      </m:r>
                      <m:r>
                        <m:rPr>
                          <m:sty m:val="p"/>
                        </m:rPr>
                        <m:t>|</m:t>
                      </m:r>
                      <m:sSub>
                        <m:e>
                          <m:r>
                            <m:t>C</m:t>
                          </m:r>
                        </m:e>
                        <m:sub>
                          <m:r>
                            <m:t>2</m:t>
                          </m:r>
                        </m:sub>
                      </m:sSub>
                    </m:e>
                  </m:d>
                </m:den>
              </m:f>
            </m:e>
          </m:d>
          <m:r>
            <m:rPr>
              <m:sty m:val="p"/>
            </m:rPr>
            <m:t>=</m:t>
          </m:r>
          <m:sSup>
            <m:e>
              <m:r>
                <m:rPr>
                  <m:sty m:val="b"/>
                </m:rPr>
                <m:t>w</m:t>
              </m:r>
            </m:e>
            <m:sup>
              <m:r>
                <m:t>T</m:t>
              </m:r>
            </m:sup>
          </m:sSup>
          <m:r>
            <m:rPr>
              <m:sty m:val="b"/>
            </m:rPr>
            <m:t>x</m:t>
          </m:r>
          <m:r>
            <m:rPr>
              <m:sty m:val="p"/>
            </m:rPr>
            <m:t>+</m:t>
          </m:r>
          <m:r>
            <m:rPr>
              <m:nor/>
              <m:sty m:val="p"/>
            </m:rPr>
            <m:t>constant</m:t>
          </m:r>
        </m:oMath>
      </m:oMathPara>
    </w:p>
    <w:p>
      <w:pPr>
        <w:pStyle w:val="FirstParagraph"/>
      </w:pPr>
      <w:r>
        <w:t xml:space="preserve">since</w:t>
      </w:r>
      <w:r>
        <w:t xml:space="preserve"> </w:t>
      </w:r>
      <m:oMath>
        <m:sSup>
          <m:e>
            <m:r>
              <m:rPr>
                <m:sty m:val="b"/>
              </m:rPr>
              <m:t>w</m:t>
            </m:r>
          </m:e>
          <m:sup>
            <m:r>
              <m:t>T</m:t>
            </m:r>
          </m:sup>
        </m:sSup>
        <m:r>
          <m:rPr>
            <m:sty m:val="b"/>
          </m:rPr>
          <m:t>x</m:t>
        </m:r>
        <m:r>
          <m:rPr>
            <m:sty m:val="p"/>
          </m:rPr>
          <m:t>=</m:t>
        </m:r>
        <m:sSup>
          <m:e>
            <m:r>
              <m:rPr>
                <m:sty m:val="b"/>
              </m:rPr>
              <m:t>x</m:t>
            </m:r>
          </m:e>
          <m:sup>
            <m:r>
              <m:t>T</m:t>
            </m:r>
          </m:sup>
        </m:sSup>
        <m:r>
          <m:rPr>
            <m:sty m:val="b"/>
          </m:rPr>
          <m:t>w</m:t>
        </m:r>
      </m:oMath>
      <w:r>
        <w:t xml:space="preserve">, as inner product is commutative. This is the linear projection vector</w:t>
      </w:r>
      <w:r>
        <w:t xml:space="preserve"> </w:t>
      </w:r>
      <m:oMath>
        <m:r>
          <m:rPr>
            <m:sty m:val="b"/>
          </m:rPr>
          <m:t>w</m:t>
        </m:r>
      </m:oMath>
      <w:r>
        <w:t xml:space="preserve"> </w:t>
      </w:r>
      <w:r>
        <w:t xml:space="preserve">that LDA uses.</w:t>
      </w:r>
    </w:p>
    <w:bookmarkEnd w:id="32"/>
    <w:bookmarkStart w:id="33" w:name="fishers-discriminant-ratio"/>
    <w:p>
      <w:pPr>
        <w:pStyle w:val="Heading4"/>
      </w:pPr>
      <w:r>
        <w:t xml:space="preserve">Fisher’s Discriminant Ratio</w:t>
      </w:r>
    </w:p>
    <w:p>
      <w:pPr>
        <w:pStyle w:val="FirstParagraph"/>
      </w:pPr>
      <w:r>
        <w:t xml:space="preserve">Now, we derive the Fisher’s Discriminant Ratio. The goal is to find a projection</w:t>
      </w:r>
      <w:r>
        <w:t xml:space="preserve"> </w:t>
      </w:r>
      <m:oMath>
        <m:r>
          <m:rPr>
            <m:sty m:val="b"/>
          </m:rPr>
          <m:t>w</m:t>
        </m:r>
      </m:oMath>
      <w:r>
        <w:t xml:space="preserve"> </w:t>
      </w:r>
      <w:r>
        <w:t xml:space="preserve">that maximizes the separation between classes (between-class variance) and minimizes the spread within each class (within-class variance).</w:t>
      </w:r>
    </w:p>
    <w:p>
      <w:pPr>
        <w:pStyle w:val="Compact"/>
        <w:numPr>
          <w:ilvl w:val="0"/>
          <w:numId w:val="1005"/>
        </w:numPr>
      </w:pPr>
      <w:r>
        <w:rPr>
          <w:b/>
          <w:bCs/>
        </w:rPr>
        <w:t xml:space="preserve">Between-class scatter</w:t>
      </w:r>
      <w:r>
        <w:t xml:space="preserve"> </w:t>
      </w:r>
      <m:oMath>
        <m:sSub>
          <m:e>
            <m:r>
              <m:t>S</m:t>
            </m:r>
          </m:e>
          <m:sub>
            <m:r>
              <m:t>B</m:t>
            </m:r>
          </m:sub>
        </m:sSub>
      </m:oMath>
      <w:r>
        <w:t xml:space="preserve"> </w:t>
      </w:r>
      <w:r>
        <w:t xml:space="preserve">is defined as:</w:t>
      </w:r>
    </w:p>
    <w:p>
      <w:pPr>
        <w:pStyle w:val="FirstParagraph"/>
      </w:pPr>
      <m:oMathPara>
        <m:oMathParaPr>
          <m:jc m:val="center"/>
        </m:oMathParaPr>
        <m:oMath>
          <m:sSub>
            <m:e>
              <m:r>
                <m:t>S</m:t>
              </m:r>
            </m:e>
            <m:sub>
              <m:r>
                <m:t>B</m:t>
              </m:r>
            </m:sub>
          </m:sSub>
          <m:r>
            <m:rPr>
              <m:sty m:val="p"/>
            </m:rPr>
            <m:t>=</m:t>
          </m:r>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oMath>
      </m:oMathPara>
    </w:p>
    <w:p>
      <w:pPr>
        <w:pStyle w:val="Compact"/>
        <w:numPr>
          <w:ilvl w:val="0"/>
          <w:numId w:val="1006"/>
        </w:numPr>
      </w:pPr>
      <w:r>
        <w:rPr>
          <w:b/>
          <w:bCs/>
        </w:rPr>
        <w:t xml:space="preserve">Within-class scatter</w:t>
      </w:r>
      <w:r>
        <w:t xml:space="preserve"> </w:t>
      </w:r>
      <m:oMath>
        <m:sSub>
          <m:e>
            <m:r>
              <m:t>S</m:t>
            </m:r>
          </m:e>
          <m:sub>
            <m:r>
              <m:t>W</m:t>
            </m:r>
          </m:sub>
        </m:sSub>
      </m:oMath>
      <w:r>
        <w:t xml:space="preserve"> </w:t>
      </w:r>
      <w:r>
        <w:t xml:space="preserve">is the covariance matrix</w:t>
      </w:r>
      <w:r>
        <w:t xml:space="preserve"> </w:t>
      </w:r>
      <m:oMath>
        <m:r>
          <m:t>Σ</m:t>
        </m:r>
      </m:oMath>
      <w:r>
        <w:t xml:space="preserve">, assuming equal covariance for both classes.</w:t>
      </w:r>
    </w:p>
    <w:p>
      <w:pPr>
        <w:pStyle w:val="FirstParagraph"/>
      </w:pPr>
      <w:r>
        <w:t xml:space="preserve">The Fisher’s discriminant ratio is the objective function to maximize:</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FirstParagraph"/>
      </w:pPr>
      <w:r>
        <w:t xml:space="preserve">Substituting</w:t>
      </w:r>
      <w:r>
        <w:t xml:space="preserve"> </w:t>
      </w:r>
      <m:oMath>
        <m:sSub>
          <m:e>
            <m:r>
              <m:t>S</m:t>
            </m:r>
          </m:e>
          <m:sub>
            <m:r>
              <m:t>B</m:t>
            </m:r>
          </m:sub>
        </m:sSub>
      </m:oMath>
      <w:r>
        <w:t xml:space="preserve"> </w:t>
      </w:r>
      <w:r>
        <w:t xml:space="preserve">and</w:t>
      </w:r>
      <w:r>
        <w:t xml:space="preserve"> </w:t>
      </w:r>
      <m:oMath>
        <m:sSub>
          <m:e>
            <m:r>
              <m:t>S</m:t>
            </m:r>
          </m:e>
          <m:sub>
            <m:r>
              <m:t>W</m:t>
            </m:r>
          </m:sub>
        </m:sSub>
      </m:oMath>
      <w:r>
        <w:t xml:space="preserve"> </w:t>
      </w:r>
      <w:r>
        <w:t xml:space="preserve">into this expression, we get:</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d>
                <m:dPr>
                  <m:begChr m:val="("/>
                  <m:endChr m:val=")"/>
                  <m:sepChr m:val=""/>
                  <m:grow/>
                </m:dPr>
                <m:e>
                  <m:sSub>
                    <m:e>
                      <m:r>
                        <m:rPr>
                          <m:sty m:val="b"/>
                        </m:rPr>
                        <m:t>μ</m:t>
                      </m:r>
                    </m:e>
                    <m:sub>
                      <m:r>
                        <m:t>1</m:t>
                      </m:r>
                    </m:sub>
                  </m:sSub>
                  <m:r>
                    <m:rPr>
                      <m:sty m:val="p"/>
                    </m:rPr>
                    <m:t>−</m:t>
                  </m:r>
                  <m:sSub>
                    <m:e>
                      <m:r>
                        <m:rPr>
                          <m:sty m:val="b"/>
                        </m:rPr>
                        <m:t>μ</m:t>
                      </m:r>
                    </m:e>
                    <m:sub>
                      <m:r>
                        <m:t>2</m:t>
                      </m:r>
                    </m:sub>
                  </m:sSub>
                </m:e>
              </m:d>
              <m:sSup>
                <m:e>
                  <m:d>
                    <m:dPr>
                      <m:begChr m:val="("/>
                      <m:endChr m:val=")"/>
                      <m:sepChr m:val=""/>
                      <m:grow/>
                    </m:dPr>
                    <m:e>
                      <m:sSub>
                        <m:e>
                          <m:r>
                            <m:rPr>
                              <m:sty m:val="b"/>
                            </m:rPr>
                            <m:t>μ</m:t>
                          </m:r>
                        </m:e>
                        <m:sub>
                          <m:r>
                            <m:t>1</m:t>
                          </m:r>
                        </m:sub>
                      </m:sSub>
                      <m:r>
                        <m:rPr>
                          <m:sty m:val="p"/>
                        </m:rPr>
                        <m:t>−</m:t>
                      </m:r>
                      <m:sSub>
                        <m:e>
                          <m:r>
                            <m:rPr>
                              <m:sty m:val="b"/>
                            </m:rPr>
                            <m:t>μ</m:t>
                          </m:r>
                        </m:e>
                        <m:sub>
                          <m:r>
                            <m:t>2</m:t>
                          </m:r>
                        </m:sub>
                      </m:sSub>
                    </m:e>
                  </m:d>
                </m:e>
                <m:sup>
                  <m:r>
                    <m:t>T</m:t>
                  </m:r>
                </m:sup>
              </m:sSup>
              <m:r>
                <m:rPr>
                  <m:sty m:val="b"/>
                </m:rPr>
                <m:t>w</m:t>
              </m:r>
            </m:num>
            <m:den>
              <m:sSup>
                <m:e>
                  <m:r>
                    <m:rPr>
                      <m:sty m:val="b"/>
                    </m:rPr>
                    <m:t>w</m:t>
                  </m:r>
                </m:e>
                <m:sup>
                  <m:r>
                    <m:t>T</m:t>
                  </m:r>
                </m:sup>
              </m:sSup>
              <m:r>
                <m:t>Σ</m:t>
              </m:r>
              <m:r>
                <m:rPr>
                  <m:sty m:val="b"/>
                </m:rPr>
                <m:t>w</m:t>
              </m:r>
            </m:den>
          </m:f>
        </m:oMath>
      </m:oMathPara>
    </w:p>
    <w:p>
      <w:pPr>
        <w:pStyle w:val="FirstParagraph"/>
      </w:pPr>
      <w:r>
        <w:t xml:space="preserve">Thus, maximizing this ratio gives the direction</w:t>
      </w:r>
      <w:r>
        <w:t xml:space="preserve"> </w:t>
      </w:r>
      <m:oMath>
        <m:r>
          <m:rPr>
            <m:sty m:val="b"/>
          </m:rPr>
          <m:t>w</m:t>
        </m:r>
        <m:r>
          <m:rPr>
            <m:sty m:val="p"/>
          </m:rPr>
          <m:t>=</m:t>
        </m:r>
        <m:sSup>
          <m:e>
            <m:r>
              <m:t>Σ</m:t>
            </m:r>
          </m:e>
          <m:sup>
            <m:r>
              <m:rPr>
                <m:sty m:val="p"/>
              </m:rPr>
              <m:t>−</m:t>
            </m:r>
            <m:r>
              <m:t>1</m:t>
            </m:r>
          </m:sup>
        </m:sSup>
        <m:d>
          <m:dPr>
            <m:begChr m:val="("/>
            <m:endChr m:val=")"/>
            <m:sepChr m:val=""/>
            <m:grow/>
          </m:dPr>
          <m:e>
            <m:sSub>
              <m:e>
                <m:r>
                  <m:rPr>
                    <m:sty m:val="b"/>
                  </m:rPr>
                  <m:t>μ</m:t>
                </m:r>
              </m:e>
              <m:sub>
                <m:r>
                  <m:t>1</m:t>
                </m:r>
              </m:sub>
            </m:sSub>
            <m:r>
              <m:rPr>
                <m:sty m:val="p"/>
              </m:rPr>
              <m:t>−</m:t>
            </m:r>
            <m:sSub>
              <m:e>
                <m:r>
                  <m:rPr>
                    <m:sty m:val="b"/>
                  </m:rPr>
                  <m:t>μ</m:t>
                </m:r>
              </m:e>
              <m:sub>
                <m:r>
                  <m:t>2</m:t>
                </m:r>
              </m:sub>
            </m:sSub>
          </m:e>
        </m:d>
      </m:oMath>
      <w:r>
        <w:t xml:space="preserve">, which is the same as the result from the Bayesian classification.</w:t>
      </w:r>
    </w:p>
    <w:bookmarkEnd w:id="33"/>
    <w:bookmarkStart w:id="34" w:name="summary"/>
    <w:p>
      <w:pPr>
        <w:pStyle w:val="Heading4"/>
      </w:pPr>
      <w:r>
        <w:t xml:space="preserve">Summary</w:t>
      </w:r>
    </w:p>
    <w:p>
      <w:pPr>
        <w:pStyle w:val="FirstParagraph"/>
      </w:pPr>
      <w:r>
        <w:t xml:space="preserve">The Fisher’s Discriminant Ratio arises as a byproduct of maximizing the posterior probability ratios between two classes under Gaussian assumptions. It captures the optimal linear projection to maximize the separation between classes (via between-class scatter) and minimize the spread within classes (via within-class scatter).</w:t>
      </w:r>
    </w:p>
    <w:bookmarkEnd w:id="34"/>
    <w:bookmarkEnd w:id="35"/>
    <w:bookmarkStart w:id="42" w:name="quadratic-discriminant-analysis-qda"/>
    <w:p>
      <w:pPr>
        <w:pStyle w:val="Heading3"/>
      </w:pPr>
      <w:r>
        <w:t xml:space="preserve">Quadratic Discriminant Analysis (QDA)</w:t>
      </w:r>
    </w:p>
    <w:p>
      <w:pPr>
        <w:pStyle w:val="FirstParagraph"/>
      </w:pPr>
      <w:r>
        <w:t xml:space="preserve">Unlike LDA, we allow each class</w:t>
      </w:r>
      <w:r>
        <w:t xml:space="preserve"> </w:t>
      </w:r>
      <m:oMath>
        <m:sSub>
          <m:e>
            <m:r>
              <m:t>C</m:t>
            </m:r>
          </m:e>
          <m:sub>
            <m:r>
              <m:t>k</m:t>
            </m:r>
          </m:sub>
        </m:sSub>
      </m:oMath>
      <w:r>
        <w:t xml:space="preserve"> </w:t>
      </w:r>
      <w:r>
        <w:t xml:space="preserve">to have its own covariance matrix</w:t>
      </w:r>
      <w:r>
        <w:t xml:space="preserve"> </w:t>
      </w:r>
      <m:oMath>
        <m:sSub>
          <m:e>
            <m:r>
              <m:t>Σ</m:t>
            </m:r>
          </m:e>
          <m:sub>
            <m:r>
              <m:t>k</m:t>
            </m:r>
          </m:sub>
        </m:sSub>
      </m:oMath>
      <w:r>
        <w:t xml:space="preserve">, leading to a more flexible model capable of handling classes with different shapes and orientations in feature space. Here’s how we can derive the discriminant function for QDA.</w:t>
      </w:r>
    </w:p>
    <w:bookmarkStart w:id="36" w:name="discriminant-function-for-qda"/>
    <w:p>
      <w:pPr>
        <w:pStyle w:val="Heading4"/>
      </w:pPr>
      <w:r>
        <w:t xml:space="preserve">Discriminant Function for QDA</w:t>
      </w:r>
    </w:p>
    <w:p>
      <w:pPr>
        <w:pStyle w:val="FirstParagraph"/>
      </w:pPr>
      <w:r>
        <w:t xml:space="preserve">In QDA, we aim to classify a sample</w:t>
      </w:r>
      <w:r>
        <w:t xml:space="preserve"> </w:t>
      </w:r>
      <m:oMath>
        <m:r>
          <m:rPr>
            <m:sty m:val="b"/>
          </m:rPr>
          <m:t>x</m:t>
        </m:r>
      </m:oMath>
      <w:r>
        <w:t xml:space="preserve"> </w:t>
      </w:r>
      <w:r>
        <w:t xml:space="preserve">based on the probability that it belongs to class</w:t>
      </w:r>
      <w:r>
        <w:t xml:space="preserve"> </w:t>
      </w:r>
      <m:oMath>
        <m:sSub>
          <m:e>
            <m:r>
              <m:t>C</m:t>
            </m:r>
          </m:e>
          <m:sub>
            <m:r>
              <m:t>k</m:t>
            </m:r>
          </m:sub>
        </m:sSub>
      </m:oMath>
      <w:r>
        <w:t xml:space="preserve">, given by</w:t>
      </w:r>
      <w:r>
        <w:t xml:space="preserve"> </w:t>
      </w:r>
      <m:oMath>
        <m:r>
          <m:t>P</m:t>
        </m:r>
        <m:d>
          <m:dPr>
            <m:begChr m:val="("/>
            <m:endChr m:val=")"/>
            <m:sepChr m:val=""/>
            <m:grow/>
          </m:dPr>
          <m:e>
            <m:sSub>
              <m:e>
                <m:r>
                  <m:t>C</m:t>
                </m:r>
              </m:e>
              <m:sub>
                <m:r>
                  <m:t>k</m:t>
                </m:r>
              </m:sub>
            </m:sSub>
            <m:r>
              <m:rPr>
                <m:sty m:val="p"/>
              </m:rPr>
              <m:t>|</m:t>
            </m:r>
            <m:r>
              <m:rPr>
                <m:sty m:val="b"/>
              </m:rPr>
              <m:t>x</m:t>
            </m:r>
          </m:e>
        </m:d>
      </m:oMath>
      <w:r>
        <w:t xml:space="preserve">. Using Bayes’ theorem, we have: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num>
            <m:den>
              <m:r>
                <m:t>P</m:t>
              </m:r>
              <m:d>
                <m:dPr>
                  <m:begChr m:val="("/>
                  <m:endChr m:val=")"/>
                  <m:sepChr m:val=""/>
                  <m:grow/>
                </m:dPr>
                <m:e>
                  <m:r>
                    <m:rPr>
                      <m:sty m:val="b"/>
                    </m:rPr>
                    <m:t>x</m:t>
                  </m:r>
                </m:e>
              </m:d>
            </m:den>
          </m:f>
        </m:oMath>
      </m:oMathPara>
    </w:p>
    <w:p>
      <w:pPr>
        <w:pStyle w:val="FirstParagraph"/>
      </w:pPr>
      <w:r>
        <w:t xml:space="preserve">Since we’re primarily interested in maximizing this value to classify</w:t>
      </w:r>
      <w:r>
        <w:t xml:space="preserve"> </w:t>
      </w:r>
      <m:oMath>
        <m:r>
          <m:rPr>
            <m:sty m:val="b"/>
          </m:rPr>
          <m:t>x</m:t>
        </m:r>
      </m:oMath>
      <w:r>
        <w:t xml:space="preserve">, we can focus on maximizing the posterior probability</w:t>
      </w:r>
      <w:r>
        <w:t xml:space="preserve"> </w:t>
      </w:r>
      <m:oMath>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oMath>
      <w:r>
        <w:t xml:space="preserve">.</w:t>
      </w:r>
    </w:p>
    <w:bookmarkEnd w:id="36"/>
    <w:bookmarkStart w:id="37" w:name="likelihood-of-mathbfx-in-class-c_k"/>
    <w:p>
      <w:pPr>
        <w:pStyle w:val="Heading4"/>
      </w:pPr>
      <w:r>
        <w:t xml:space="preserve">Likelihood of</w:t>
      </w:r>
      <w:r>
        <w:t xml:space="preserve"> </w:t>
      </w:r>
      <m:oMath>
        <m:r>
          <m:rPr>
            <m:sty m:val="b"/>
          </m:rPr>
          <m:t>x</m:t>
        </m:r>
      </m:oMath>
      <w:r>
        <w:t xml:space="preserve"> </w:t>
      </w:r>
      <w:r>
        <w:t xml:space="preserve">in Class</w:t>
      </w:r>
      <w:r>
        <w:t xml:space="preserve"> </w:t>
      </w:r>
      <m:oMath>
        <m:sSub>
          <m:e>
            <m:r>
              <m:t>C</m:t>
            </m:r>
          </m:e>
          <m:sub>
            <m:r>
              <m:t>k</m:t>
            </m:r>
          </m:sub>
        </m:sSub>
      </m:oMath>
    </w:p>
    <w:p>
      <w:pPr>
        <w:pStyle w:val="FirstParagraph"/>
      </w:pPr>
      <w:r>
        <w:t xml:space="preserve">Assuming that the feature vector</w:t>
      </w:r>
      <w:r>
        <w:t xml:space="preserve"> </w:t>
      </w:r>
      <m:oMath>
        <m:r>
          <m:rPr>
            <m:sty m:val="b"/>
          </m:rPr>
          <m:t>x</m:t>
        </m:r>
      </m:oMath>
      <w:r>
        <w:t xml:space="preserve"> </w:t>
      </w:r>
      <w:r>
        <w:t xml:space="preserve">follows a Gaussian distribution within each class</w:t>
      </w:r>
      <w:r>
        <w:t xml:space="preserve"> </w:t>
      </w:r>
      <m:oMath>
        <m:sSub>
          <m:e>
            <m:r>
              <m:t>C</m:t>
            </m:r>
          </m:e>
          <m:sub>
            <m:r>
              <m:t>k</m:t>
            </m:r>
          </m:sub>
        </m:sSub>
      </m:oMath>
      <w:r>
        <w:t xml:space="preserve">, the likelihood</w:t>
      </w:r>
      <w:r>
        <w:t xml:space="preserve"> </w:t>
      </w:r>
      <m:oMath>
        <m:r>
          <m:t>P</m:t>
        </m:r>
        <m:d>
          <m:dPr>
            <m:begChr m:val="("/>
            <m:endChr m:val=")"/>
            <m:sepChr m:val=""/>
            <m:grow/>
          </m:dPr>
          <m:e>
            <m:r>
              <m:rPr>
                <m:sty m:val="b"/>
              </m:rPr>
              <m:t>x</m:t>
            </m:r>
            <m:r>
              <m:rPr>
                <m:sty m:val="p"/>
              </m:rPr>
              <m:t>|</m:t>
            </m:r>
            <m:sSub>
              <m:e>
                <m:r>
                  <m:t>C</m:t>
                </m:r>
              </m:e>
              <m:sub>
                <m:r>
                  <m:t>k</m:t>
                </m:r>
              </m:sub>
            </m:sSub>
          </m:e>
        </m:d>
      </m:oMath>
      <w:r>
        <w:t xml:space="preserve"> </w:t>
      </w:r>
      <w:r>
        <w:t xml:space="preserve">is given by:</w:t>
      </w:r>
    </w:p>
    <w:p>
      <w:pPr>
        <w:pStyle w:val="BodyText"/>
      </w:pPr>
      <m:oMathPara>
        <m:oMathParaPr>
          <m:jc m:val="center"/>
        </m:oMathParaPr>
        <m:oMath>
          <m:r>
            <m:t>P</m:t>
          </m:r>
          <m:d>
            <m:dPr>
              <m:begChr m:val="("/>
              <m:endChr m:val=")"/>
              <m:sepChr m:val=""/>
              <m:grow/>
            </m:dPr>
            <m:e>
              <m:r>
                <m:rPr>
                  <m:sty m:val="b"/>
                </m:rPr>
                <m:t>x</m:t>
              </m:r>
              <m:r>
                <m:rPr>
                  <m:sty m:val="p"/>
                </m:rPr>
                <m:t>|</m:t>
              </m:r>
              <m:sSub>
                <m:e>
                  <m:r>
                    <m:t>C</m:t>
                  </m:r>
                </m:e>
                <m:sub>
                  <m:r>
                    <m:t>k</m:t>
                  </m:r>
                </m:sub>
              </m:sSub>
            </m:e>
          </m:d>
          <m:r>
            <m:rPr>
              <m:sty m:val="p"/>
            </m:rPr>
            <m:t>=</m:t>
          </m:r>
          <m:f>
            <m:fPr>
              <m:type m:val="bar"/>
            </m:fPr>
            <m:num>
              <m:r>
                <m:t>1</m:t>
              </m:r>
            </m:num>
            <m:den>
              <m:sSup>
                <m:e>
                  <m:d>
                    <m:dPr>
                      <m:begChr m:val="("/>
                      <m:endChr m:val=")"/>
                      <m:sepChr m:val=""/>
                      <m:grow/>
                    </m:dPr>
                    <m:e>
                      <m:r>
                        <m:t>2</m:t>
                      </m:r>
                      <m:r>
                        <m:t>π</m:t>
                      </m:r>
                    </m:e>
                  </m:d>
                </m:e>
                <m:sup>
                  <m:r>
                    <m:t>d</m:t>
                  </m:r>
                  <m:r>
                    <m:rPr>
                      <m:sty m:val="p"/>
                    </m:rPr>
                    <m:t>/</m:t>
                  </m:r>
                  <m:r>
                    <m:t>2</m:t>
                  </m:r>
                </m:sup>
              </m:sSup>
              <m:sSup>
                <m:e>
                  <m:d>
                    <m:dPr>
                      <m:begChr m:val="|"/>
                      <m:endChr m:val="|"/>
                      <m:sepChr m:val=""/>
                      <m:grow/>
                    </m:dPr>
                    <m:e>
                      <m:sSub>
                        <m:e>
                          <m:r>
                            <m:t>Σ</m:t>
                          </m:r>
                        </m:e>
                        <m:sub>
                          <m:r>
                            <m:t>k</m:t>
                          </m:r>
                        </m:sub>
                      </m:sSub>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e>
          </m:d>
        </m:oMath>
      </m:oMathPara>
    </w:p>
    <w:p>
      <w:pPr>
        <w:pStyle w:val="FirstParagraph"/>
      </w:pPr>
      <w:r>
        <w:t xml:space="preserve">where:</w:t>
      </w:r>
    </w:p>
    <w:p>
      <w:pPr>
        <w:pStyle w:val="Compact"/>
        <w:numPr>
          <w:ilvl w:val="0"/>
          <w:numId w:val="1007"/>
        </w:numPr>
      </w:pPr>
      <m:oMath>
        <m:sSub>
          <m:e>
            <m:r>
              <m:rPr>
                <m:sty m:val="b"/>
              </m:rPr>
              <m:t>μ</m:t>
            </m:r>
          </m:e>
          <m:sub>
            <m:r>
              <m:t>k</m:t>
            </m:r>
          </m:sub>
        </m:sSub>
      </m:oMath>
      <w:r>
        <w:t xml:space="preserve"> </w:t>
      </w:r>
      <w:r>
        <w:t xml:space="preserve">is the mean vector for class</w:t>
      </w:r>
      <w:r>
        <w:t xml:space="preserve"> </w:t>
      </w:r>
      <m:oMath>
        <m:sSub>
          <m:e>
            <m:r>
              <m:t>C</m:t>
            </m:r>
          </m:e>
          <m:sub>
            <m:r>
              <m:t>k</m:t>
            </m:r>
          </m:sub>
        </m:sSub>
      </m:oMath>
      <w:r>
        <w:t xml:space="preserve">,</w:t>
      </w:r>
    </w:p>
    <w:p>
      <w:pPr>
        <w:pStyle w:val="Compact"/>
        <w:numPr>
          <w:ilvl w:val="0"/>
          <w:numId w:val="1007"/>
        </w:numPr>
      </w:pPr>
      <m:oMath>
        <m:sSub>
          <m:e>
            <m:r>
              <m:t>Σ</m:t>
            </m:r>
          </m:e>
          <m:sub>
            <m:r>
              <m:t>k</m:t>
            </m:r>
          </m:sub>
        </m:sSub>
      </m:oMath>
      <w:r>
        <w:t xml:space="preserve"> </w:t>
      </w:r>
      <w:r>
        <w:t xml:space="preserve">is the covariance matrix for class</w:t>
      </w:r>
      <w:r>
        <w:t xml:space="preserve"> </w:t>
      </w:r>
      <m:oMath>
        <m:sSub>
          <m:e>
            <m:r>
              <m:t>C</m:t>
            </m:r>
          </m:e>
          <m:sub>
            <m:r>
              <m:t>k</m:t>
            </m:r>
          </m:sub>
        </m:sSub>
      </m:oMath>
      <w:r>
        <w:t xml:space="preserve">,</w:t>
      </w:r>
    </w:p>
    <w:p>
      <w:pPr>
        <w:pStyle w:val="Compact"/>
        <w:numPr>
          <w:ilvl w:val="0"/>
          <w:numId w:val="1007"/>
        </w:numPr>
      </w:pPr>
      <m:oMath>
        <m:r>
          <m:t>d</m:t>
        </m:r>
      </m:oMath>
      <w:r>
        <w:t xml:space="preserve"> </w:t>
      </w:r>
      <w:r>
        <w:t xml:space="preserve">is the dimensionality of</w:t>
      </w:r>
      <w:r>
        <w:t xml:space="preserve"> </w:t>
      </w:r>
      <m:oMath>
        <m:r>
          <m:rPr>
            <m:sty m:val="b"/>
          </m:rPr>
          <m:t>x</m:t>
        </m:r>
      </m:oMath>
      <w:r>
        <w:t xml:space="preserve">.</w:t>
      </w:r>
    </w:p>
    <w:bookmarkEnd w:id="37"/>
    <w:bookmarkStart w:id="38" w:name="Xf30ee5941f8736860588c42cf6d435790a0c7e6"/>
    <w:p>
      <w:pPr>
        <w:pStyle w:val="Heading4"/>
      </w:pPr>
      <w:r>
        <w:t xml:space="preserve">Log of the Posterior (Quadratic Discriminant)</w:t>
      </w:r>
    </w:p>
    <w:p>
      <w:pPr>
        <w:pStyle w:val="FirstParagraph"/>
      </w:pPr>
      <w:r>
        <w:t xml:space="preserve">To simplify the computation, we take the logarithm of the posterior probability. Ignoring constant terms that do not depend on</w:t>
      </w:r>
      <w:r>
        <w:t xml:space="preserve"> </w:t>
      </w:r>
      <m:oMath>
        <m:r>
          <m:t>k</m:t>
        </m:r>
      </m:oMath>
      <w:r>
        <w:t xml:space="preserve">, we have:</w:t>
      </w:r>
    </w:p>
    <w:p>
      <w:pPr>
        <w:pStyle w:val="BodyText"/>
      </w:pPr>
      <m:oMathPara>
        <m:oMathParaPr>
          <m:jc m:val="center"/>
        </m:oMathParaPr>
        <m:oMath>
          <m:r>
            <m:rPr>
              <m:sty m:val="p"/>
            </m:rPr>
            <m:t>ln</m:t>
          </m:r>
          <m:r>
            <m:t>P</m:t>
          </m:r>
          <m:d>
            <m:dPr>
              <m:begChr m:val="("/>
              <m:endChr m:val=")"/>
              <m:sepChr m:val=""/>
              <m:grow/>
            </m:dPr>
            <m:e>
              <m:r>
                <m:rPr>
                  <m:sty m:val="b"/>
                </m:rPr>
                <m:t>x</m:t>
              </m:r>
              <m:r>
                <m:rPr>
                  <m:sty m:val="p"/>
                </m:rPr>
                <m:t>|</m:t>
              </m:r>
              <m:sSub>
                <m:e>
                  <m:r>
                    <m:t>C</m:t>
                  </m:r>
                </m:e>
                <m:sub>
                  <m:r>
                    <m:t>k</m:t>
                  </m:r>
                </m:sub>
              </m:sSub>
            </m:e>
          </m:d>
          <m:r>
            <m:t>P</m:t>
          </m:r>
          <m:d>
            <m:dPr>
              <m:begChr m:val="("/>
              <m:endChr m:val=")"/>
              <m:sepChr m:val=""/>
              <m:grow/>
            </m:dPr>
            <m:e>
              <m:sSub>
                <m:e>
                  <m:r>
                    <m:t>C</m:t>
                  </m:r>
                </m:e>
                <m:sub>
                  <m:r>
                    <m:t>k</m:t>
                  </m:r>
                </m:sub>
              </m:sSub>
            </m:e>
          </m:d>
          <m:r>
            <m:rPr>
              <m:sty m:val="p"/>
            </m:rPr>
            <m:t>=</m:t>
          </m:r>
          <m:r>
            <m:rPr>
              <m:sty m:val="p"/>
            </m:rPr>
            <m:t>−</m:t>
          </m:r>
          <m:f>
            <m:fPr>
              <m:type m:val="bar"/>
            </m:fPr>
            <m:num>
              <m:r>
                <m:t>1</m:t>
              </m:r>
            </m:num>
            <m:den>
              <m:r>
                <m:t>2</m:t>
              </m:r>
            </m:den>
          </m:f>
          <m:d>
            <m:dPr>
              <m:begChr m:val="("/>
              <m:endChr m:val=")"/>
              <m:sepChr m:val=""/>
              <m:grow/>
            </m:dPr>
            <m:e>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r>
                <m:rPr>
                  <m:sty m:val="p"/>
                </m:rPr>
                <m:t>ln</m:t>
              </m:r>
              <m:d>
                <m:dPr>
                  <m:begChr m:val="|"/>
                  <m:endChr m:val="|"/>
                  <m:sepChr m:val=""/>
                  <m:grow/>
                </m:dPr>
                <m:e>
                  <m:sSub>
                    <m:e>
                      <m:r>
                        <m:t>Σ</m:t>
                      </m:r>
                    </m:e>
                    <m:sub>
                      <m:r>
                        <m:t>k</m:t>
                      </m:r>
                    </m:sub>
                  </m:sSub>
                </m:e>
              </m:d>
            </m:e>
          </m:d>
          <m:r>
            <m:rPr>
              <m:sty m:val="p"/>
            </m:rPr>
            <m:t>+</m:t>
          </m:r>
          <m:r>
            <m:rPr>
              <m:sty m:val="p"/>
            </m:rPr>
            <m:t>ln</m:t>
          </m:r>
          <m:r>
            <m:t>P</m:t>
          </m:r>
          <m:d>
            <m:dPr>
              <m:begChr m:val="("/>
              <m:endChr m:val=")"/>
              <m:sepChr m:val=""/>
              <m:grow/>
            </m:dPr>
            <m:e>
              <m:sSub>
                <m:e>
                  <m:r>
                    <m:t>C</m:t>
                  </m:r>
                </m:e>
                <m:sub>
                  <m:r>
                    <m:t>k</m:t>
                  </m:r>
                </m:sub>
              </m:sSub>
            </m:e>
          </m:d>
        </m:oMath>
      </m:oMathPara>
    </w:p>
    <w:p>
      <w:pPr>
        <w:pStyle w:val="FirstParagraph"/>
      </w:pPr>
      <w:r>
        <w:t xml:space="preserve">The discriminant function for QDA can then be expressed as:</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8"/>
    <w:bookmarkStart w:id="39" w:name="expanding-the-quadratic-term"/>
    <w:p>
      <w:pPr>
        <w:pStyle w:val="Heading4"/>
      </w:pPr>
      <w:r>
        <w:t xml:space="preserve">Expanding the Quadratic Term</w:t>
      </w:r>
    </w:p>
    <w:p>
      <w:pPr>
        <w:pStyle w:val="FirstParagraph"/>
      </w:pPr>
      <w:r>
        <w:t xml:space="preserve">Let’s expand the quadratic term:</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oMath>
      </m:oMathPara>
    </w:p>
    <w:p>
      <w:pPr>
        <w:pStyle w:val="FirstParagraph"/>
      </w:pPr>
      <w:r>
        <w:t xml:space="preserve">Expanding this gives:</w:t>
      </w:r>
    </w:p>
    <w:p>
      <w:pPr>
        <w:pStyle w:val="BodyText"/>
      </w:pPr>
      <m:oMathPara>
        <m:oMathParaPr>
          <m:jc m:val="center"/>
        </m:oMathParaPr>
        <m:oMath>
          <m:sSup>
            <m:e>
              <m:d>
                <m:dPr>
                  <m:begChr m:val="("/>
                  <m:endChr m:val=")"/>
                  <m:sepChr m:val=""/>
                  <m:grow/>
                </m:dPr>
                <m:e>
                  <m:r>
                    <m:rPr>
                      <m:sty m:val="b"/>
                    </m:rPr>
                    <m:t>x</m:t>
                  </m:r>
                  <m:r>
                    <m:rPr>
                      <m:sty m:val="p"/>
                    </m:rPr>
                    <m:t>−</m:t>
                  </m:r>
                  <m:sSub>
                    <m:e>
                      <m:r>
                        <m:rPr>
                          <m:sty m:val="b"/>
                        </m:rPr>
                        <m:t>μ</m:t>
                      </m:r>
                    </m:e>
                    <m:sub>
                      <m:r>
                        <m:t>k</m:t>
                      </m:r>
                    </m:sub>
                  </m:sSub>
                </m:e>
              </m:d>
            </m:e>
            <m:sup>
              <m:r>
                <m:t>T</m:t>
              </m:r>
            </m:sup>
          </m:sSup>
          <m:sSubSup>
            <m:e>
              <m:r>
                <m:t>Σ</m:t>
              </m:r>
            </m:e>
            <m:sub>
              <m:r>
                <m:t>k</m:t>
              </m:r>
            </m:sub>
            <m:sup>
              <m:r>
                <m:rPr>
                  <m:sty m:val="p"/>
                </m:rPr>
                <m:t>−</m:t>
              </m:r>
              <m:r>
                <m:t>1</m:t>
              </m:r>
            </m:sup>
          </m:sSubSup>
          <m:d>
            <m:dPr>
              <m:begChr m:val="("/>
              <m:endChr m:val=")"/>
              <m:sepChr m:val=""/>
              <m:grow/>
            </m:dPr>
            <m:e>
              <m:r>
                <m:rPr>
                  <m:sty m:val="b"/>
                </m:rPr>
                <m:t>x</m:t>
              </m:r>
              <m:r>
                <m:rPr>
                  <m:sty m:val="p"/>
                </m:rPr>
                <m:t>−</m:t>
              </m:r>
              <m:sSub>
                <m:e>
                  <m:r>
                    <m:rPr>
                      <m:sty m:val="b"/>
                    </m:rPr>
                    <m:t>μ</m:t>
                  </m:r>
                </m:e>
                <m:sub>
                  <m:r>
                    <m:t>k</m:t>
                  </m:r>
                </m:sub>
              </m:sSub>
            </m:e>
          </m:d>
          <m:r>
            <m:rPr>
              <m:sty m:val="p"/>
            </m:rPr>
            <m:t>=</m:t>
          </m:r>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oMath>
      </m:oMathPara>
    </w:p>
    <w:p>
      <w:pPr>
        <w:pStyle w:val="FirstParagraph"/>
      </w:pPr>
      <w:r>
        <w:t xml:space="preserve">Substituting this expansion into the discriminant function:</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d>
            <m:dPr>
              <m:begChr m:val="("/>
              <m:endChr m:val=")"/>
              <m:sepChr m:val=""/>
              <m:grow/>
            </m:dPr>
            <m:e>
              <m:sSup>
                <m:e>
                  <m:r>
                    <m:rPr>
                      <m:sty m:val="b"/>
                    </m:rPr>
                    <m:t>x</m:t>
                  </m:r>
                </m:e>
                <m:sup>
                  <m:r>
                    <m:t>T</m:t>
                  </m:r>
                </m:sup>
              </m:sSup>
              <m:sSubSup>
                <m:e>
                  <m:r>
                    <m:t>Σ</m:t>
                  </m:r>
                </m:e>
                <m:sub>
                  <m:r>
                    <m:t>k</m:t>
                  </m:r>
                </m:sub>
                <m:sup>
                  <m:r>
                    <m:rPr>
                      <m:sty m:val="p"/>
                    </m:rPr>
                    <m:t>−</m:t>
                  </m:r>
                  <m:r>
                    <m:t>1</m:t>
                  </m:r>
                </m:sup>
              </m:sSubSup>
              <m:r>
                <m:rPr>
                  <m:sty m:val="b"/>
                </m:rPr>
                <m:t>x</m:t>
              </m:r>
              <m:r>
                <m:rPr>
                  <m:sty m:val="p"/>
                </m:rPr>
                <m:t>−</m:t>
              </m:r>
              <m:r>
                <m:t>2</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e>
          </m:d>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39"/>
    <w:bookmarkStart w:id="40" w:name="X6e9d1bd838f293ee79e9250d2727c18d6081d60"/>
    <w:p>
      <w:pPr>
        <w:pStyle w:val="Heading4"/>
      </w:pPr>
      <w:r>
        <w:t xml:space="preserve">Final Form of the QDA Discriminant Function</w:t>
      </w:r>
    </w:p>
    <w:p>
      <w:pPr>
        <w:pStyle w:val="FirstParagraph"/>
      </w:pPr>
      <w:r>
        <w:t xml:space="preserve">Rearranging terms, we get:</w:t>
      </w:r>
    </w:p>
    <w:p>
      <w:pPr>
        <w:pStyle w:val="BodyText"/>
      </w:pPr>
      <m:oMathPara>
        <m:oMathParaPr>
          <m:jc m:val="center"/>
        </m:oMathParaPr>
        <m:oMath>
          <m:sSub>
            <m:e>
              <m:r>
                <m:t>δ</m:t>
              </m:r>
            </m:e>
            <m:sub>
              <m:r>
                <m:t>k</m:t>
              </m:r>
            </m:sub>
          </m:sSub>
          <m:d>
            <m:dPr>
              <m:begChr m:val="("/>
              <m:endChr m:val=")"/>
              <m:sepChr m:val=""/>
              <m:grow/>
            </m:dPr>
            <m:e>
              <m:r>
                <m:rPr>
                  <m:sty m:val="b"/>
                </m:rPr>
                <m:t>x</m:t>
              </m:r>
            </m:e>
          </m:d>
          <m:r>
            <m:rPr>
              <m:sty m:val="p"/>
            </m:rPr>
            <m:t>=</m:t>
          </m:r>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r>
            <m:rPr>
              <m:sty m:val="p"/>
            </m:rPr>
            <m:t>+</m:t>
          </m:r>
          <m:sSup>
            <m:e>
              <m:r>
                <m:rPr>
                  <m:sty m:val="b"/>
                </m:rPr>
                <m:t>x</m:t>
              </m:r>
            </m:e>
            <m:sup>
              <m:r>
                <m:t>T</m:t>
              </m:r>
            </m:sup>
          </m:s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m:oMathPara>
    </w:p>
    <w:bookmarkEnd w:id="40"/>
    <w:bookmarkStart w:id="41" w:name="key-points-in-qda"/>
    <w:p>
      <w:pPr>
        <w:pStyle w:val="Heading4"/>
      </w:pPr>
      <w:r>
        <w:t xml:space="preserve">Key Points in QDA</w:t>
      </w:r>
    </w:p>
    <w:p>
      <w:pPr>
        <w:pStyle w:val="Compact"/>
        <w:numPr>
          <w:ilvl w:val="0"/>
          <w:numId w:val="1008"/>
        </w:numPr>
      </w:pPr>
      <w:r>
        <w:rPr>
          <w:b/>
          <w:bCs/>
        </w:rPr>
        <w:t xml:space="preserve">Quadratic term</w:t>
      </w:r>
      <w:r>
        <w:t xml:space="preserve">: Unlike LDA, QDA includes a quadratic term in</w:t>
      </w:r>
      <w:r>
        <w:t xml:space="preserve"> </w:t>
      </w:r>
      <m:oMath>
        <m:r>
          <m:rPr>
            <m:sty m:val="b"/>
          </m:rPr>
          <m:t>x</m:t>
        </m:r>
      </m:oMath>
      <w:r>
        <w:t xml:space="preserve">,</w:t>
      </w:r>
      <w:r>
        <w:t xml:space="preserve"> </w:t>
      </w:r>
      <m:oMath>
        <m:r>
          <m:rPr>
            <m:sty m:val="p"/>
          </m:rPr>
          <m:t>−</m:t>
        </m:r>
        <m:f>
          <m:fPr>
            <m:type m:val="bar"/>
          </m:fPr>
          <m:num>
            <m:r>
              <m:t>1</m:t>
            </m:r>
          </m:num>
          <m:den>
            <m:r>
              <m:t>2</m:t>
            </m:r>
          </m:den>
        </m:f>
        <m:sSup>
          <m:e>
            <m:r>
              <m:rPr>
                <m:sty m:val="b"/>
              </m:rPr>
              <m:t>x</m:t>
            </m:r>
          </m:e>
          <m:sup>
            <m:r>
              <m:t>T</m:t>
            </m:r>
          </m:sup>
        </m:sSup>
        <m:sSubSup>
          <m:e>
            <m:r>
              <m:t>Σ</m:t>
            </m:r>
          </m:e>
          <m:sub>
            <m:r>
              <m:t>k</m:t>
            </m:r>
          </m:sub>
          <m:sup>
            <m:r>
              <m:rPr>
                <m:sty m:val="p"/>
              </m:rPr>
              <m:t>−</m:t>
            </m:r>
            <m:r>
              <m:t>1</m:t>
            </m:r>
          </m:sup>
        </m:sSubSup>
        <m:r>
          <m:rPr>
            <m:sty m:val="b"/>
          </m:rPr>
          <m:t>x</m:t>
        </m:r>
      </m:oMath>
      <w:r>
        <w:t xml:space="preserve">, which allows QDA to model classes with different covariances.</w:t>
      </w:r>
    </w:p>
    <w:p>
      <w:pPr>
        <w:pStyle w:val="Compact"/>
        <w:numPr>
          <w:ilvl w:val="0"/>
          <w:numId w:val="1008"/>
        </w:numPr>
      </w:pPr>
      <w:r>
        <w:rPr>
          <w:b/>
          <w:bCs/>
        </w:rPr>
        <w:t xml:space="preserve">Linear term</w:t>
      </w:r>
      <w:r>
        <w:t xml:space="preserve">:</w:t>
      </w:r>
      <w:r>
        <w:t xml:space="preserve"> </w:t>
      </w:r>
      <m:oMath>
        <m:sSup>
          <m:e>
            <m:r>
              <m:rPr>
                <m:sty m:val="b"/>
              </m:rPr>
              <m:t>x</m:t>
            </m:r>
          </m:e>
          <m:sup>
            <m:r>
              <m:t>T</m:t>
            </m:r>
          </m:sup>
        </m:sSup>
        <m:sSubSup>
          <m:e>
            <m:r>
              <m:t>Σ</m:t>
            </m:r>
          </m:e>
          <m:sub>
            <m:r>
              <m:t>k</m:t>
            </m:r>
          </m:sub>
          <m:sup>
            <m:r>
              <m:rPr>
                <m:sty m:val="p"/>
              </m:rPr>
              <m:t>−</m:t>
            </m:r>
            <m:r>
              <m:t>1</m:t>
            </m:r>
          </m:sup>
        </m:sSubSup>
        <m:sSub>
          <m:e>
            <m:r>
              <m:rPr>
                <m:sty m:val="b"/>
              </m:rPr>
              <m:t>μ</m:t>
            </m:r>
          </m:e>
          <m:sub>
            <m:r>
              <m:t>k</m:t>
            </m:r>
          </m:sub>
        </m:sSub>
      </m:oMath>
      <w:r>
        <w:t xml:space="preserve"> </w:t>
      </w:r>
      <w:r>
        <w:t xml:space="preserve">is a linear term in</w:t>
      </w:r>
      <w:r>
        <w:t xml:space="preserve"> </w:t>
      </w:r>
      <m:oMath>
        <m:r>
          <m:rPr>
            <m:sty m:val="b"/>
          </m:rPr>
          <m:t>x</m:t>
        </m:r>
      </m:oMath>
      <w:r>
        <w:t xml:space="preserve">.</w:t>
      </w:r>
    </w:p>
    <w:p>
      <w:pPr>
        <w:pStyle w:val="Compact"/>
        <w:numPr>
          <w:ilvl w:val="0"/>
          <w:numId w:val="1008"/>
        </w:numPr>
      </w:pPr>
      <w:r>
        <w:rPr>
          <w:b/>
          <w:bCs/>
        </w:rPr>
        <w:t xml:space="preserve">Constant term</w:t>
      </w:r>
      <w:r>
        <w:t xml:space="preserve">: The remaining terms</w:t>
      </w:r>
      <w:r>
        <w:t xml:space="preserve"> </w:t>
      </w:r>
      <m:oMath>
        <m:r>
          <m:rPr>
            <m:sty m:val="p"/>
          </m:rPr>
          <m:t>−</m:t>
        </m:r>
        <m:f>
          <m:fPr>
            <m:type m:val="bar"/>
          </m:fPr>
          <m:num>
            <m:r>
              <m:t>1</m:t>
            </m:r>
          </m:num>
          <m:den>
            <m:r>
              <m:t>2</m:t>
            </m:r>
          </m:den>
        </m:f>
        <m:sSubSup>
          <m:e>
            <m:r>
              <m:rPr>
                <m:sty m:val="b"/>
              </m:rPr>
              <m:t>μ</m:t>
            </m:r>
          </m:e>
          <m:sub>
            <m:r>
              <m:t>k</m:t>
            </m:r>
          </m:sub>
          <m:sup>
            <m:r>
              <m:t>T</m:t>
            </m:r>
          </m:sup>
        </m:sSubSup>
        <m:sSubSup>
          <m:e>
            <m:r>
              <m:t>Σ</m:t>
            </m:r>
          </m:e>
          <m:sub>
            <m:r>
              <m:t>k</m:t>
            </m:r>
          </m:sub>
          <m:sup>
            <m:r>
              <m:rPr>
                <m:sty m:val="p"/>
              </m:rPr>
              <m:t>−</m:t>
            </m:r>
            <m:r>
              <m:t>1</m:t>
            </m:r>
          </m:sup>
        </m:sSubSup>
        <m:sSub>
          <m:e>
            <m:r>
              <m:rPr>
                <m:sty m:val="b"/>
              </m:rPr>
              <m:t>μ</m:t>
            </m:r>
          </m:e>
          <m:sub>
            <m:r>
              <m:t>k</m:t>
            </m:r>
          </m:sub>
        </m:sSub>
        <m:r>
          <m:rPr>
            <m:sty m:val="p"/>
          </m:rPr>
          <m:t>−</m:t>
        </m:r>
        <m:f>
          <m:fPr>
            <m:type m:val="bar"/>
          </m:fPr>
          <m:num>
            <m:r>
              <m:t>1</m:t>
            </m:r>
          </m:num>
          <m:den>
            <m:r>
              <m:t>2</m:t>
            </m:r>
          </m:den>
        </m:f>
        <m:r>
          <m:rPr>
            <m:sty m:val="p"/>
          </m:rPr>
          <m:t>ln</m:t>
        </m:r>
        <m:d>
          <m:dPr>
            <m:begChr m:val="|"/>
            <m:endChr m:val="|"/>
            <m:sepChr m:val=""/>
            <m:grow/>
          </m:dPr>
          <m:e>
            <m:sSub>
              <m:e>
                <m:r>
                  <m:t>Σ</m:t>
                </m:r>
              </m:e>
              <m:sub>
                <m:r>
                  <m:t>k</m:t>
                </m:r>
              </m:sub>
            </m:sSub>
          </m:e>
        </m:d>
        <m:r>
          <m:rPr>
            <m:sty m:val="p"/>
          </m:rPr>
          <m:t>+</m:t>
        </m:r>
        <m:r>
          <m:rPr>
            <m:sty m:val="p"/>
          </m:rPr>
          <m:t>ln</m:t>
        </m:r>
        <m:r>
          <m:t>P</m:t>
        </m:r>
        <m:d>
          <m:dPr>
            <m:begChr m:val="("/>
            <m:endChr m:val=")"/>
            <m:sepChr m:val=""/>
            <m:grow/>
          </m:dPr>
          <m:e>
            <m:sSub>
              <m:e>
                <m:r>
                  <m:t>C</m:t>
                </m:r>
              </m:e>
              <m:sub>
                <m:r>
                  <m:t>k</m:t>
                </m:r>
              </m:sub>
            </m:sSub>
          </m:e>
        </m:d>
      </m:oMath>
      <w:r>
        <w:t xml:space="preserve"> </w:t>
      </w:r>
      <w:r>
        <w:t xml:space="preserve">are independent of</w:t>
      </w:r>
      <w:r>
        <w:t xml:space="preserve"> </w:t>
      </w:r>
      <m:oMath>
        <m:r>
          <m:rPr>
            <m:sty m:val="b"/>
          </m:rPr>
          <m:t>x</m:t>
        </m:r>
      </m:oMath>
      <w:r>
        <w:t xml:space="preserve">.</w:t>
      </w:r>
    </w:p>
    <w:p>
      <w:pPr>
        <w:pStyle w:val="FirstParagraph"/>
      </w:pPr>
      <w:r>
        <w:t xml:space="preserve">Because of the quadratic term, the decision boundaries in QDA are generally</w:t>
      </w:r>
      <w:r>
        <w:t xml:space="preserve"> </w:t>
      </w:r>
      <w:r>
        <w:rPr>
          <w:b/>
          <w:bCs/>
        </w:rPr>
        <w:t xml:space="preserve">quadratic surfaces</w:t>
      </w:r>
      <w:r>
        <w:t xml:space="preserve">, allowing it to handle more complex class separations than LDA, which has linear boundaries.</w:t>
      </w:r>
    </w:p>
    <w:bookmarkEnd w:id="41"/>
    <w:bookmarkEnd w:id="42"/>
    <w:bookmarkEnd w:id="43"/>
    <w:bookmarkStart w:id="45" w:name="references"/>
    <w:p>
      <w:pPr>
        <w:pStyle w:val="Heading2"/>
      </w:pPr>
      <w:r>
        <w:t xml:space="preserve">References</w:t>
      </w:r>
    </w:p>
    <w:p>
      <w:pPr>
        <w:pStyle w:val="Compact"/>
        <w:numPr>
          <w:ilvl w:val="0"/>
          <w:numId w:val="1009"/>
        </w:numPr>
      </w:pPr>
      <w:r>
        <w:rPr>
          <w:b/>
          <w:bCs/>
        </w:rPr>
        <w:t xml:space="preserve">“</w:t>
      </w:r>
      <w:r>
        <w:rPr>
          <w:b/>
          <w:bCs/>
        </w:rPr>
        <w:t xml:space="preserve">The Elements of Statistical Learning</w:t>
      </w:r>
      <w:r>
        <w:rPr>
          <w:b/>
          <w:bCs/>
        </w:rPr>
        <w:t xml:space="preserve">”</w:t>
      </w:r>
      <w:r>
        <w:rPr>
          <w:b/>
          <w:bCs/>
        </w:rPr>
        <w:t xml:space="preserve"> </w:t>
      </w:r>
      <w:r>
        <w:rPr>
          <w:b/>
          <w:bCs/>
        </w:rPr>
        <w:t xml:space="preserve">by Trevor Hastie, Robert Tibshirani, and Jerome Friedman</w:t>
      </w:r>
    </w:p>
    <w:p>
      <w:pPr>
        <w:pStyle w:val="Compact"/>
        <w:numPr>
          <w:ilvl w:val="1"/>
          <w:numId w:val="1010"/>
        </w:numPr>
      </w:pPr>
      <w:r>
        <w:t xml:space="preserve">This book is an excellent resource for both Linear and Quadratic Discriminant Analysis, including mathematical derivations, explanations of Gaussian discriminant analysis, and the context for using LDA and QDA.</w:t>
      </w:r>
    </w:p>
    <w:p>
      <w:pPr>
        <w:pStyle w:val="Compact"/>
        <w:numPr>
          <w:ilvl w:val="1"/>
          <w:numId w:val="1010"/>
        </w:numPr>
      </w:pPr>
      <w:r>
        <w:t xml:space="preserve">See Chapter 4: Linear Methods for Classification.</w:t>
      </w:r>
    </w:p>
    <w:p>
      <w:pPr>
        <w:pStyle w:val="Compact"/>
        <w:numPr>
          <w:ilvl w:val="0"/>
          <w:numId w:val="1009"/>
        </w:numPr>
      </w:pPr>
      <w:r>
        <w:rPr>
          <w:b/>
          <w:bCs/>
        </w:rPr>
        <w:t xml:space="preserve">“</w:t>
      </w:r>
      <w:r>
        <w:rPr>
          <w:b/>
          <w:bCs/>
        </w:rPr>
        <w:t xml:space="preserve">Pattern Recognition and Machine Learning</w:t>
      </w:r>
      <w:r>
        <w:rPr>
          <w:b/>
          <w:bCs/>
        </w:rPr>
        <w:t xml:space="preserve">”</w:t>
      </w:r>
      <w:r>
        <w:rPr>
          <w:b/>
          <w:bCs/>
        </w:rPr>
        <w:t xml:space="preserve"> </w:t>
      </w:r>
      <w:r>
        <w:rPr>
          <w:b/>
          <w:bCs/>
        </w:rPr>
        <w:t xml:space="preserve">by Christopher M. Bishop</w:t>
      </w:r>
    </w:p>
    <w:p>
      <w:pPr>
        <w:pStyle w:val="Compact"/>
        <w:numPr>
          <w:ilvl w:val="1"/>
          <w:numId w:val="1011"/>
        </w:numPr>
      </w:pPr>
      <w:r>
        <w:t xml:space="preserve">Bishop’s book offers a clear introduction to probabilistic classification, Bayes theorem, and discriminant analysis.</w:t>
      </w:r>
    </w:p>
    <w:p>
      <w:pPr>
        <w:pStyle w:val="Compact"/>
        <w:numPr>
          <w:ilvl w:val="1"/>
          <w:numId w:val="1011"/>
        </w:numPr>
      </w:pPr>
      <w:r>
        <w:t xml:space="preserve">See Chapter 4: Linear Models for Classification.</w:t>
      </w:r>
    </w:p>
    <w:p>
      <w:pPr>
        <w:pStyle w:val="Compact"/>
        <w:numPr>
          <w:ilvl w:val="0"/>
          <w:numId w:val="1009"/>
        </w:numPr>
      </w:pPr>
      <w:r>
        <w:rPr>
          <w:b/>
          <w:bCs/>
        </w:rPr>
        <w:t xml:space="preserve">“</w:t>
      </w:r>
      <w:r>
        <w:rPr>
          <w:b/>
          <w:bCs/>
        </w:rPr>
        <w:t xml:space="preserve">Machine Learning: A Probabilistic Perspective</w:t>
      </w:r>
      <w:r>
        <w:rPr>
          <w:b/>
          <w:bCs/>
        </w:rPr>
        <w:t xml:space="preserve">”</w:t>
      </w:r>
      <w:r>
        <w:rPr>
          <w:b/>
          <w:bCs/>
        </w:rPr>
        <w:t xml:space="preserve"> </w:t>
      </w:r>
      <w:r>
        <w:rPr>
          <w:b/>
          <w:bCs/>
        </w:rPr>
        <w:t xml:space="preserve">by Kevin P. Murphy</w:t>
      </w:r>
    </w:p>
    <w:p>
      <w:pPr>
        <w:pStyle w:val="Compact"/>
        <w:numPr>
          <w:ilvl w:val="1"/>
          <w:numId w:val="1012"/>
        </w:numPr>
      </w:pPr>
      <w:r>
        <w:t xml:space="preserve">This text provides derivations and explanations of LDA and QDA from a probabilistic and Bayesian perspective.</w:t>
      </w:r>
    </w:p>
    <w:p>
      <w:pPr>
        <w:pStyle w:val="Compact"/>
        <w:numPr>
          <w:ilvl w:val="1"/>
          <w:numId w:val="1012"/>
        </w:numPr>
      </w:pPr>
      <w:r>
        <w:t xml:space="preserve">See Chapter 7: Linear Discriminant Analysis.</w:t>
      </w:r>
    </w:p>
    <w:p>
      <w:pPr>
        <w:pStyle w:val="Compact"/>
        <w:numPr>
          <w:ilvl w:val="0"/>
          <w:numId w:val="1009"/>
        </w:numPr>
      </w:pPr>
      <w:r>
        <w:rPr>
          <w:b/>
          <w:bCs/>
        </w:rPr>
        <w:t xml:space="preserve">“</w:t>
      </w:r>
      <w:r>
        <w:rPr>
          <w:b/>
          <w:bCs/>
        </w:rPr>
        <w:t xml:space="preserve">Applied Multivariate Statistical Analysis</w:t>
      </w:r>
      <w:r>
        <w:rPr>
          <w:b/>
          <w:bCs/>
        </w:rPr>
        <w:t xml:space="preserve">”</w:t>
      </w:r>
      <w:r>
        <w:rPr>
          <w:b/>
          <w:bCs/>
        </w:rPr>
        <w:t xml:space="preserve"> </w:t>
      </w:r>
      <w:r>
        <w:rPr>
          <w:b/>
          <w:bCs/>
        </w:rPr>
        <w:t xml:space="preserve">by Richard A. Johnson and Dean W. Wichern</w:t>
      </w:r>
    </w:p>
    <w:p>
      <w:pPr>
        <w:pStyle w:val="Compact"/>
        <w:numPr>
          <w:ilvl w:val="1"/>
          <w:numId w:val="1013"/>
        </w:numPr>
      </w:pPr>
      <w:r>
        <w:t xml:space="preserve">This book goes deeper into the statistical foundation behind discriminant analysis, including pooled variance, unbiased estimators, and the assumptions behind LDA and QDA.</w:t>
      </w:r>
    </w:p>
    <w:p>
      <w:pPr>
        <w:pStyle w:val="Compact"/>
        <w:numPr>
          <w:ilvl w:val="1"/>
          <w:numId w:val="1013"/>
        </w:numPr>
      </w:pPr>
      <w:r>
        <w:t xml:space="preserve">See Chapter 11: Discrimination and Classification.</w:t>
      </w:r>
    </w:p>
    <w:p>
      <w:pPr>
        <w:pStyle w:val="Compact"/>
        <w:numPr>
          <w:ilvl w:val="0"/>
          <w:numId w:val="1009"/>
        </w:numPr>
      </w:pPr>
      <w:r>
        <w:rPr>
          <w:b/>
          <w:bCs/>
        </w:rPr>
        <w:t xml:space="preserve">“</w:t>
      </w:r>
      <w:r>
        <w:rPr>
          <w:b/>
          <w:bCs/>
        </w:rPr>
        <w:t xml:space="preserve">Introduction to the Theory of Statistics</w:t>
      </w:r>
      <w:r>
        <w:rPr>
          <w:b/>
          <w:bCs/>
        </w:rPr>
        <w:t xml:space="preserve">”</w:t>
      </w:r>
      <w:r>
        <w:rPr>
          <w:b/>
          <w:bCs/>
        </w:rPr>
        <w:t xml:space="preserve"> </w:t>
      </w:r>
      <w:r>
        <w:rPr>
          <w:b/>
          <w:bCs/>
        </w:rPr>
        <w:t xml:space="preserve">by Alexander M. Mood, Franklin A. Graybill, and Duane C. Boes</w:t>
      </w:r>
    </w:p>
    <w:p>
      <w:pPr>
        <w:pStyle w:val="Compact"/>
        <w:numPr>
          <w:ilvl w:val="1"/>
          <w:numId w:val="1014"/>
        </w:numPr>
      </w:pPr>
      <w:r>
        <w:t xml:space="preserve">This text provides a theoretical foundation on statistical concepts, including unbiased estimators and quadratic forms, which underlie LDA and QDA derivations.</w:t>
      </w:r>
    </w:p>
    <w:p>
      <w:pPr>
        <w:pStyle w:val="Compact"/>
        <w:numPr>
          <w:ilvl w:val="1"/>
          <w:numId w:val="1014"/>
        </w:numPr>
      </w:pPr>
      <w:r>
        <w:t xml:space="preserve">Relevant for concepts of unbiased estimation and quadratic forms.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4" w:name="fb-root"/>
    <w:bookmarkEnd w:id="44"/>
    <w:p>
      <w:pPr>
        <w:pStyle w:val="BodyText"/>
      </w:pPr>
      <w:r>
        <w:rPr>
          <w:b/>
          <w:bCs/>
        </w:rPr>
        <w:t xml:space="preserve">You may also like</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hyperlink" Id="rId25" Target="https://en.wikipedia.org/wiki/Law_of_total_probability" TargetMode="External" /></Relationships>
</file>

<file path=word/_rels/footnotes.xml.rels><?xml version="1.0" encoding="UTF-8"?><Relationships xmlns="http://schemas.openxmlformats.org/package/2006/relationships"><Relationship Type="http://schemas.openxmlformats.org/officeDocument/2006/relationships/hyperlink" Id="rId25" Target="https://en.wikipedia.org/wiki/Law_of_total_prob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Probabilistic Models for Classification</dc:title>
  <dc:creator>Rafiq Islam</dc:creator>
  <cp:keywords/>
  <dcterms:created xsi:type="dcterms:W3CDTF">2024-10-29T04:45:20Z</dcterms:created>
  <dcterms:modified xsi:type="dcterms:W3CDTF">2024-10-29T04:45:20Z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2024-10-22</vt:lpwstr>
  </property>
  <property fmtid="{D5CDD505-2E9C-101B-9397-08002B2CF9AE}" pid="9" name="header-includes">
    <vt:lpwstr/>
  </property>
  <property fmtid="{D5CDD505-2E9C-101B-9397-08002B2CF9AE}" pid="10" name="image">
    <vt:lpwstr>Bayeslearn.png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