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AbleSpace Walkthrough</w:t>
      </w:r>
    </w:p>
    <w:p>
      <w:pPr>
        <w:jc w:val="center"/>
      </w:pPr>
      <w:r>
        <w:rPr>
          <w:b/>
          <w:sz w:val="34"/>
        </w:rPr>
        <w:t>Part 2 – Product Understanding</w:t>
      </w:r>
    </w:p>
    <w:p>
      <w:pPr>
        <w:jc w:val="center"/>
      </w:pPr>
      <w:r>
        <w:rPr>
          <w:sz w:val="26"/>
        </w:rPr>
        <w:t>Take Data Workflow – Caseload</w:t>
      </w:r>
    </w:p>
    <w:p/>
    <w:p>
      <w:pPr>
        <w:jc w:val="center"/>
      </w:pPr>
      <w:r>
        <w:rPr>
          <w:sz w:val="22"/>
        </w:rPr>
        <w:t>This walkthrough explains the workflow I observed while exploring the Caseload and Take Data experience in AbleSpace.</w:t>
      </w:r>
    </w:p>
    <w:p/>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t>1</w:t>
            </w:r>
          </w:p>
        </w:tc>
        <w:tc>
          <w:tcPr>
            <w:tcW w:type="dxa" w:w="2045"/>
            <w:vAlign w:val="center"/>
          </w:tcPr>
          <w:p>
            <w:r>
              <w:t>2</w:t>
            </w:r>
          </w:p>
        </w:tc>
        <w:tc>
          <w:tcPr>
            <w:tcW w:type="dxa" w:w="2045"/>
            <w:vAlign w:val="center"/>
          </w:tcPr>
          <w:p>
            <w:r>
              <w:t>3</w:t>
            </w:r>
          </w:p>
        </w:tc>
        <w:tc>
          <w:tcPr>
            <w:tcW w:type="dxa" w:w="2045"/>
            <w:vAlign w:val="center"/>
          </w:tcPr>
          <w:p>
            <w:r>
              <w:t>4</w:t>
            </w:r>
          </w:p>
        </w:tc>
        <w:tc>
          <w:tcPr>
            <w:tcW w:type="dxa" w:w="2045"/>
            <w:vAlign w:val="center"/>
          </w:tcPr>
          <w:p>
            <w:r>
              <w:t>5</w:t>
            </w:r>
          </w:p>
        </w:tc>
      </w:tr>
      <w:tr>
        <w:tc>
          <w:tcPr>
            <w:tcW w:type="dxa" w:w="2045"/>
          </w:tcPr>
          <w:p>
            <w:r>
              <w:t>Caseload</w:t>
            </w:r>
          </w:p>
        </w:tc>
        <w:tc>
          <w:tcPr>
            <w:tcW w:type="dxa" w:w="2045"/>
          </w:tcPr>
          <w:p>
            <w:r>
              <w:t>Student</w:t>
            </w:r>
          </w:p>
        </w:tc>
        <w:tc>
          <w:tcPr>
            <w:tcW w:type="dxa" w:w="2045"/>
          </w:tcPr>
          <w:p>
            <w:r>
              <w:t>Goals</w:t>
            </w:r>
          </w:p>
        </w:tc>
        <w:tc>
          <w:tcPr>
            <w:tcW w:type="dxa" w:w="2045"/>
          </w:tcPr>
          <w:p>
            <w:r>
              <w:t>Take Data</w:t>
            </w:r>
          </w:p>
        </w:tc>
        <w:tc>
          <w:tcPr>
            <w:tcW w:type="dxa" w:w="2045"/>
          </w:tcPr>
          <w:p>
            <w:r>
              <w:t>Review</w:t>
            </w:r>
          </w:p>
        </w:tc>
      </w:tr>
    </w:tbl>
    <w:p>
      <w:pPr>
        <w:jc w:val="center"/>
      </w:pPr>
      <w:r>
        <w:rPr>
          <w:b/>
          <w:sz w:val="22"/>
        </w:rPr>
        <w:t>Caseload → Student Profile → Goals → Take Data → Graph / Stats / Info</w:t>
      </w:r>
    </w:p>
    <w:p>
      <w:r>
        <w:br w:type="page"/>
      </w:r>
    </w:p>
    <w:p>
      <w:pPr>
        <w:pStyle w:val="Heading1"/>
      </w:pPr>
      <w:r>
        <w:t>1. Product &amp; Workflow Overview</w:t>
      </w:r>
    </w:p>
    <w:p>
      <w:r>
        <w:rPr>
          <w:b/>
        </w:rPr>
        <w:t xml:space="preserve">Purpose. </w:t>
      </w:r>
      <w:r>
        <w:t>The Take Data workflow provides a focused way for a professional to select a student, choose an IEP goal, record goal-specific data, and review the student's performance.</w:t>
      </w:r>
    </w:p>
    <w:p>
      <w:r>
        <w:rPr>
          <w:b/>
        </w:rPr>
        <w:t xml:space="preserve">Observed workflow. </w:t>
      </w:r>
      <w:r>
        <w:t>The experience follows a clear progression from the caseload list to the individual student, then to goals and finally to data capture and review.</w:t>
      </w:r>
    </w:p>
    <w:p>
      <w:pPr>
        <w:pStyle w:val="ListBullet"/>
        <w:spacing w:after="40"/>
      </w:pPr>
      <w:r>
        <w:t>Caseload: identify the student and access student actions.</w:t>
      </w:r>
    </w:p>
    <w:p>
      <w:pPr>
        <w:pStyle w:val="ListBullet"/>
        <w:spacing w:after="40"/>
      </w:pPr>
      <w:r>
        <w:t>Student Profile: view key student details and access goals.</w:t>
      </w:r>
    </w:p>
    <w:p>
      <w:pPr>
        <w:pStyle w:val="ListBullet"/>
        <w:spacing w:after="40"/>
      </w:pPr>
      <w:r>
        <w:t>Goals: review active goals and their measurement types.</w:t>
      </w:r>
    </w:p>
    <w:p>
      <w:pPr>
        <w:pStyle w:val="ListBullet"/>
        <w:spacing w:after="40"/>
      </w:pPr>
      <w:r>
        <w:t>Take Data: record observations/trials using a goal-specific input.</w:t>
      </w:r>
    </w:p>
    <w:p>
      <w:pPr>
        <w:pStyle w:val="ListBullet"/>
        <w:spacing w:after="40"/>
      </w:pPr>
      <w:r>
        <w:t>Review: use Graph, Stats, and Info to understand collected data.</w:t>
      </w:r>
    </w:p>
    <w:p>
      <w:pPr>
        <w:pStyle w:val="Heading1"/>
      </w:pPr>
      <w:r>
        <w:t>2. Step 1 — Caseload</w:t>
      </w:r>
    </w:p>
    <w:p>
      <w:r>
        <w:rPr>
          <w:b/>
        </w:rPr>
        <w:t xml:space="preserve">What I observed: </w:t>
      </w:r>
      <w:r>
        <w:t>The Caseload screen presents students in a table and provides important information such as IEP due date, evaluation due date, collaborators, service time, school, grade, DOB, teacher, and room. Each student row also provides a Take Data action.</w:t>
      </w:r>
    </w:p>
    <w:p>
      <w:pPr>
        <w:jc w:val="center"/>
      </w:pPr>
      <w:r>
        <w:drawing>
          <wp:inline xmlns:a="http://schemas.openxmlformats.org/drawingml/2006/main" xmlns:pic="http://schemas.openxmlformats.org/drawingml/2006/picture">
            <wp:extent cx="6309360" cy="3102047"/>
            <wp:docPr id="1" name="Picture 1"/>
            <wp:cNvGraphicFramePr>
              <a:graphicFrameLocks noChangeAspect="1"/>
            </wp:cNvGraphicFramePr>
            <a:graphic>
              <a:graphicData uri="http://schemas.openxmlformats.org/drawingml/2006/picture">
                <pic:pic>
                  <pic:nvPicPr>
                    <pic:cNvPr id="0" name="0b599935-8935-4bee-8fdb-59fb15fd7e7d.png"/>
                    <pic:cNvPicPr/>
                  </pic:nvPicPr>
                  <pic:blipFill>
                    <a:blip r:embed="rId11"/>
                    <a:stretch>
                      <a:fillRect/>
                    </a:stretch>
                  </pic:blipFill>
                  <pic:spPr>
                    <a:xfrm>
                      <a:off x="0" y="0"/>
                      <a:ext cx="6309360" cy="3102047"/>
                    </a:xfrm>
                    <a:prstGeom prst="rect"/>
                  </pic:spPr>
                </pic:pic>
              </a:graphicData>
            </a:graphic>
          </wp:inline>
        </w:drawing>
      </w:r>
    </w:p>
    <w:p>
      <w:pPr>
        <w:jc w:val="center"/>
      </w:pPr>
      <w:r>
        <w:rPr>
          <w:b/>
          <w:i/>
          <w:sz w:val="18"/>
        </w:rPr>
        <w:t>Figure 1. Caseload provides a central student list and direct access to Take Data.</w:t>
      </w:r>
    </w:p>
    <w:p>
      <w:pPr>
        <w:pStyle w:val="Heading1"/>
      </w:pPr>
      <w:r>
        <w:t>3. Step 2 — Student Profile</w:t>
      </w:r>
    </w:p>
    <w:p>
      <w:r>
        <w:rPr>
          <w:b/>
        </w:rPr>
        <w:t xml:space="preserve">What I observed: </w:t>
      </w:r>
      <w:r>
        <w:t>Selecting a student opens a profile with tabs for Goals, Worksheets, Notes, Service Time, Accommodation, Attachments, Daily Logs, Progress, and Strength/Need. The Take Data and View Data actions are visible at the top, keeping data collection close to the student's information.</w:t>
      </w:r>
    </w:p>
    <w:p>
      <w:pPr>
        <w:jc w:val="center"/>
      </w:pPr>
      <w:r>
        <w:drawing>
          <wp:inline xmlns:a="http://schemas.openxmlformats.org/drawingml/2006/main" xmlns:pic="http://schemas.openxmlformats.org/drawingml/2006/picture">
            <wp:extent cx="6309360" cy="3507390"/>
            <wp:docPr id="2" name="Picture 2"/>
            <wp:cNvGraphicFramePr>
              <a:graphicFrameLocks noChangeAspect="1"/>
            </wp:cNvGraphicFramePr>
            <a:graphic>
              <a:graphicData uri="http://schemas.openxmlformats.org/drawingml/2006/picture">
                <pic:pic>
                  <pic:nvPicPr>
                    <pic:cNvPr id="0" name="c2962dfe-c0bb-4af5-8cbd-a19b49b791e6.png"/>
                    <pic:cNvPicPr/>
                  </pic:nvPicPr>
                  <pic:blipFill>
                    <a:blip r:embed="rId12"/>
                    <a:stretch>
                      <a:fillRect/>
                    </a:stretch>
                  </pic:blipFill>
                  <pic:spPr>
                    <a:xfrm>
                      <a:off x="0" y="0"/>
                      <a:ext cx="6309360" cy="3507390"/>
                    </a:xfrm>
                    <a:prstGeom prst="rect"/>
                  </pic:spPr>
                </pic:pic>
              </a:graphicData>
            </a:graphic>
          </wp:inline>
        </w:drawing>
      </w:r>
    </w:p>
    <w:p>
      <w:pPr>
        <w:jc w:val="center"/>
      </w:pPr>
      <w:r>
        <w:rPr>
          <w:b/>
          <w:i/>
          <w:sz w:val="18"/>
        </w:rPr>
        <w:t>Figure 2. Student Profile keeps student information and data actions together.</w:t>
      </w:r>
    </w:p>
    <w:p>
      <w:r>
        <w:br w:type="page"/>
      </w:r>
    </w:p>
    <w:p>
      <w:pPr>
        <w:pStyle w:val="Heading1"/>
      </w:pPr>
      <w:r>
        <w:t>4. Step 3 — Review Goals</w:t>
      </w:r>
    </w:p>
    <w:p>
      <w:r>
        <w:rPr>
          <w:b/>
        </w:rPr>
        <w:t xml:space="preserve">What I observed: </w:t>
      </w:r>
      <w:r>
        <w:t>The Goals page shows 7 goals and 2 objectives for the demo student. Each goal is associated with a measurement type such as Frequency, Task Analysis, Accuracy, Task with Prompts, Prompting Levels, Rating Scale, or Opportunity. Goal status is also summarized as Not Started, Behind, On Track, or Mastered.</w:t>
      </w:r>
    </w:p>
    <w:p>
      <w:pPr>
        <w:jc w:val="center"/>
      </w:pPr>
      <w:r>
        <w:drawing>
          <wp:inline xmlns:a="http://schemas.openxmlformats.org/drawingml/2006/main" xmlns:pic="http://schemas.openxmlformats.org/drawingml/2006/picture">
            <wp:extent cx="6309360" cy="3865874"/>
            <wp:docPr id="3" name="Picture 3"/>
            <wp:cNvGraphicFramePr>
              <a:graphicFrameLocks noChangeAspect="1"/>
            </wp:cNvGraphicFramePr>
            <a:graphic>
              <a:graphicData uri="http://schemas.openxmlformats.org/drawingml/2006/picture">
                <pic:pic>
                  <pic:nvPicPr>
                    <pic:cNvPr id="0" name="9ff83ac4-3109-44b8-aa1c-7c6a6dbb2b1e.png"/>
                    <pic:cNvPicPr/>
                  </pic:nvPicPr>
                  <pic:blipFill>
                    <a:blip r:embed="rId13"/>
                    <a:stretch>
                      <a:fillRect/>
                    </a:stretch>
                  </pic:blipFill>
                  <pic:spPr>
                    <a:xfrm>
                      <a:off x="0" y="0"/>
                      <a:ext cx="6309360" cy="3865874"/>
                    </a:xfrm>
                    <a:prstGeom prst="rect"/>
                  </pic:spPr>
                </pic:pic>
              </a:graphicData>
            </a:graphic>
          </wp:inline>
        </w:drawing>
      </w:r>
    </w:p>
    <w:p>
      <w:pPr>
        <w:jc w:val="center"/>
      </w:pPr>
      <w:r>
        <w:rPr>
          <w:b/>
          <w:i/>
          <w:sz w:val="18"/>
        </w:rPr>
        <w:t>Figure 3. Goals are organized by measurement type and progress status.</w:t>
      </w:r>
    </w:p>
    <w:p>
      <w:pPr>
        <w:pStyle w:val="Heading1"/>
      </w:pPr>
      <w:r>
        <w:t>5. Step 4 — Take Data / Capture</w:t>
      </w:r>
    </w:p>
    <w:p>
      <w:r>
        <w:rPr>
          <w:b/>
        </w:rPr>
        <w:t xml:space="preserve">What I observed: </w:t>
      </w:r>
      <w:r>
        <w:t>The Take Data view opens a dedicated session. The selected goal and its full description are shown above the capture area. For the Social Studies goal, a large + control is used to record frequency. Each click increments the recorded value, while Undo allows the latest entry to be corrected. Notes and a Lesson Plan area are also available during the session.</w:t>
      </w:r>
    </w:p>
    <w:p>
      <w:pPr>
        <w:jc w:val="center"/>
      </w:pPr>
      <w:r>
        <w:drawing>
          <wp:inline xmlns:a="http://schemas.openxmlformats.org/drawingml/2006/main" xmlns:pic="http://schemas.openxmlformats.org/drawingml/2006/picture">
            <wp:extent cx="6309360" cy="3694349"/>
            <wp:docPr id="4" name="Picture 4"/>
            <wp:cNvGraphicFramePr>
              <a:graphicFrameLocks noChangeAspect="1"/>
            </wp:cNvGraphicFramePr>
            <a:graphic>
              <a:graphicData uri="http://schemas.openxmlformats.org/drawingml/2006/picture">
                <pic:pic>
                  <pic:nvPicPr>
                    <pic:cNvPr id="0" name="36d9fec0-27cd-4b4c-b32e-26b1c8b6acdc.png"/>
                    <pic:cNvPicPr/>
                  </pic:nvPicPr>
                  <pic:blipFill>
                    <a:blip r:embed="rId14"/>
                    <a:stretch>
                      <a:fillRect/>
                    </a:stretch>
                  </pic:blipFill>
                  <pic:spPr>
                    <a:xfrm>
                      <a:off x="0" y="0"/>
                      <a:ext cx="6309360" cy="3694349"/>
                    </a:xfrm>
                    <a:prstGeom prst="rect"/>
                  </pic:spPr>
                </pic:pic>
              </a:graphicData>
            </a:graphic>
          </wp:inline>
        </w:drawing>
      </w:r>
    </w:p>
    <w:p>
      <w:pPr>
        <w:jc w:val="center"/>
      </w:pPr>
      <w:r>
        <w:rPr>
          <w:b/>
          <w:i/>
          <w:sz w:val="18"/>
        </w:rPr>
        <w:t>Figure 4. Take Data provides a simple, large interaction for recording a trial.</w:t>
      </w:r>
    </w:p>
    <w:p>
      <w:r>
        <w:br w:type="page"/>
      </w:r>
    </w:p>
    <w:p>
      <w:pPr>
        <w:pStyle w:val="Heading1"/>
      </w:pPr>
      <w:r>
        <w:t>6. Step 5 — Review the Data</w:t>
      </w:r>
    </w:p>
    <w:p>
      <w:pPr>
        <w:pStyle w:val="Heading2"/>
      </w:pPr>
      <w:r>
        <w:t>6.1 Graph</w:t>
      </w:r>
    </w:p>
    <w:p>
      <w:r>
        <w:rPr>
          <w:b/>
        </w:rPr>
        <w:t xml:space="preserve">What I observed: </w:t>
      </w:r>
      <w:r>
        <w:t>The Graph view visualizes performance over time. The user can adjust the time range and graph options, making trends easier to understand than a list of individual observations.</w:t>
      </w:r>
    </w:p>
    <w:p>
      <w:pPr>
        <w:jc w:val="center"/>
      </w:pPr>
      <w:r>
        <w:drawing>
          <wp:inline xmlns:a="http://schemas.openxmlformats.org/drawingml/2006/main" xmlns:pic="http://schemas.openxmlformats.org/drawingml/2006/picture">
            <wp:extent cx="6309360" cy="3846687"/>
            <wp:docPr id="5" name="Picture 5"/>
            <wp:cNvGraphicFramePr>
              <a:graphicFrameLocks noChangeAspect="1"/>
            </wp:cNvGraphicFramePr>
            <a:graphic>
              <a:graphicData uri="http://schemas.openxmlformats.org/drawingml/2006/picture">
                <pic:pic>
                  <pic:nvPicPr>
                    <pic:cNvPr id="0" name="25acdb14-e891-419f-b6b1-1d4cc19224d1.png"/>
                    <pic:cNvPicPr/>
                  </pic:nvPicPr>
                  <pic:blipFill>
                    <a:blip r:embed="rId15"/>
                    <a:stretch>
                      <a:fillRect/>
                    </a:stretch>
                  </pic:blipFill>
                  <pic:spPr>
                    <a:xfrm>
                      <a:off x="0" y="0"/>
                      <a:ext cx="6309360" cy="3846687"/>
                    </a:xfrm>
                    <a:prstGeom prst="rect"/>
                  </pic:spPr>
                </pic:pic>
              </a:graphicData>
            </a:graphic>
          </wp:inline>
        </w:drawing>
      </w:r>
    </w:p>
    <w:p>
      <w:pPr>
        <w:jc w:val="center"/>
      </w:pPr>
      <w:r>
        <w:rPr>
          <w:b/>
          <w:i/>
          <w:sz w:val="18"/>
        </w:rPr>
        <w:t>Figure 5. Graph view visualizes frequency data over time.</w:t>
      </w:r>
    </w:p>
    <w:p>
      <w:pPr>
        <w:pStyle w:val="Heading2"/>
      </w:pPr>
      <w:r>
        <w:t>6.2 Stats</w:t>
      </w:r>
    </w:p>
    <w:p>
      <w:r>
        <w:rPr>
          <w:b/>
        </w:rPr>
        <w:t xml:space="preserve">What I observed: </w:t>
      </w:r>
      <w:r>
        <w:t>The Stats view presents individual data points with session/trial date, editor, frequency, and notes. The interface also provides options to add data, download data, view more data, and access a performance summary.</w:t>
      </w:r>
    </w:p>
    <w:p>
      <w:pPr>
        <w:jc w:val="center"/>
      </w:pPr>
      <w:r>
        <w:drawing>
          <wp:inline xmlns:a="http://schemas.openxmlformats.org/drawingml/2006/main" xmlns:pic="http://schemas.openxmlformats.org/drawingml/2006/picture">
            <wp:extent cx="6309360" cy="3828858"/>
            <wp:docPr id="6" name="Picture 6"/>
            <wp:cNvGraphicFramePr>
              <a:graphicFrameLocks noChangeAspect="1"/>
            </wp:cNvGraphicFramePr>
            <a:graphic>
              <a:graphicData uri="http://schemas.openxmlformats.org/drawingml/2006/picture">
                <pic:pic>
                  <pic:nvPicPr>
                    <pic:cNvPr id="0" name="4b220df5-d3df-47d7-a1c1-c39728f29024.png"/>
                    <pic:cNvPicPr/>
                  </pic:nvPicPr>
                  <pic:blipFill>
                    <a:blip r:embed="rId16"/>
                    <a:stretch>
                      <a:fillRect/>
                    </a:stretch>
                  </pic:blipFill>
                  <pic:spPr>
                    <a:xfrm>
                      <a:off x="0" y="0"/>
                      <a:ext cx="6309360" cy="3828858"/>
                    </a:xfrm>
                    <a:prstGeom prst="rect"/>
                  </pic:spPr>
                </pic:pic>
              </a:graphicData>
            </a:graphic>
          </wp:inline>
        </w:drawing>
      </w:r>
    </w:p>
    <w:p>
      <w:pPr>
        <w:jc w:val="center"/>
      </w:pPr>
      <w:r>
        <w:rPr>
          <w:b/>
          <w:i/>
          <w:sz w:val="18"/>
        </w:rPr>
        <w:t>Figure 6. Stats provides a structured view of recorded observations.</w:t>
      </w:r>
    </w:p>
    <w:p>
      <w:pPr>
        <w:pStyle w:val="Heading2"/>
      </w:pPr>
      <w:r>
        <w:t>6.3 Info</w:t>
      </w:r>
    </w:p>
    <w:p>
      <w:r>
        <w:rPr>
          <w:b/>
        </w:rPr>
        <w:t xml:space="preserve">What I observed: </w:t>
      </w:r>
      <w:r>
        <w:t>The Info view summarizes the measurement type, last data update, number of data points, notes count, and a performance summary. In the observed example, the measurement was Frequency and the displayed average was 3.22.</w:t>
      </w:r>
    </w:p>
    <w:p>
      <w:pPr>
        <w:jc w:val="center"/>
      </w:pPr>
      <w:r>
        <w:drawing>
          <wp:inline xmlns:a="http://schemas.openxmlformats.org/drawingml/2006/main" xmlns:pic="http://schemas.openxmlformats.org/drawingml/2006/picture">
            <wp:extent cx="6309360" cy="3878084"/>
            <wp:docPr id="7" name="Picture 7"/>
            <wp:cNvGraphicFramePr>
              <a:graphicFrameLocks noChangeAspect="1"/>
            </wp:cNvGraphicFramePr>
            <a:graphic>
              <a:graphicData uri="http://schemas.openxmlformats.org/drawingml/2006/picture">
                <pic:pic>
                  <pic:nvPicPr>
                    <pic:cNvPr id="0" name="8db2b958-82af-4e00-9972-6c823d09769c.png"/>
                    <pic:cNvPicPr/>
                  </pic:nvPicPr>
                  <pic:blipFill>
                    <a:blip r:embed="rId17"/>
                    <a:stretch>
                      <a:fillRect/>
                    </a:stretch>
                  </pic:blipFill>
                  <pic:spPr>
                    <a:xfrm>
                      <a:off x="0" y="0"/>
                      <a:ext cx="6309360" cy="3878084"/>
                    </a:xfrm>
                    <a:prstGeom prst="rect"/>
                  </pic:spPr>
                </pic:pic>
              </a:graphicData>
            </a:graphic>
          </wp:inline>
        </w:drawing>
      </w:r>
    </w:p>
    <w:p>
      <w:pPr>
        <w:jc w:val="center"/>
      </w:pPr>
      <w:r>
        <w:rPr>
          <w:b/>
          <w:i/>
          <w:sz w:val="18"/>
        </w:rPr>
        <w:t>Figure 7. Info summarizes the selected goal and collected data.</w:t>
      </w:r>
    </w:p>
    <w:p>
      <w:r>
        <w:br w:type="page"/>
      </w:r>
    </w:p>
    <w:p>
      <w:pPr>
        <w:pStyle w:val="Heading1"/>
      </w:pPr>
      <w:r>
        <w:t>7. UX/UI &amp; Functionality Observations</w:t>
      </w:r>
    </w:p>
    <w:p>
      <w:r>
        <w:rPr>
          <w:b/>
        </w:rPr>
        <w:t>Strengths observed</w:t>
      </w:r>
    </w:p>
    <w:p>
      <w:pPr>
        <w:pStyle w:val="ListBullet"/>
        <w:spacing w:after="40"/>
      </w:pPr>
      <w:r>
        <w:t>The workflow is easy to understand: Caseload → Student → Goals → Take Data → Review.</w:t>
      </w:r>
    </w:p>
    <w:p>
      <w:pPr>
        <w:pStyle w:val="ListBullet"/>
        <w:spacing w:after="40"/>
      </w:pPr>
      <w:r>
        <w:t>The large + control makes repeated data entry fast during a live session.</w:t>
      </w:r>
    </w:p>
    <w:p>
      <w:pPr>
        <w:pStyle w:val="ListBullet"/>
        <w:spacing w:after="40"/>
      </w:pPr>
      <w:r>
        <w:t>Goal-specific measurement types reduce the need for the professional to decide how data should be recorded.</w:t>
      </w:r>
    </w:p>
    <w:p>
      <w:pPr>
        <w:pStyle w:val="ListBullet"/>
        <w:spacing w:after="40"/>
      </w:pPr>
      <w:r>
        <w:t>Graph, Stats, and Info provide different ways to review the same collected data.</w:t>
      </w:r>
    </w:p>
    <w:p>
      <w:r>
        <w:rPr>
          <w:b/>
        </w:rPr>
        <w:t>Potential improvements</w:t>
      </w:r>
    </w:p>
    <w:p>
      <w:pPr>
        <w:spacing w:after="100"/>
      </w:pPr>
      <w:r>
        <w:rPr>
          <w:b/>
        </w:rPr>
        <w:t xml:space="preserve">1. Show trial progress: </w:t>
      </w:r>
      <w:r>
        <w:t>During a goal such as 4 out of 5 opportunities, display progress such as “3/5 opportunities” so the professional immediately knows how far the current trial is from completion.</w:t>
      </w:r>
    </w:p>
    <w:p>
      <w:pPr>
        <w:spacing w:after="100"/>
      </w:pPr>
      <w:r>
        <w:rPr>
          <w:b/>
        </w:rPr>
        <w:t xml:space="preserve">2. Quick access to frequently used goals: </w:t>
      </w:r>
      <w:r>
        <w:t>Allow professionals to pin or mark frequently collected goals so they can start data collection faster without scanning the full goal list.</w:t>
      </w:r>
    </w:p>
    <w:p>
      <w:pPr>
        <w:spacing w:after="100"/>
      </w:pPr>
      <w:r>
        <w:rPr>
          <w:b/>
        </w:rPr>
        <w:t xml:space="preserve">3. Stronger completion feedback: </w:t>
      </w:r>
      <w:r>
        <w:t>After data is saved, provide a clear confirmation such as “Data saved successfully” and show the latest recorded value. This would reduce uncertainty during a busy session.</w:t>
      </w:r>
    </w:p>
    <w:p>
      <w:pPr>
        <w:spacing w:after="100"/>
      </w:pPr>
      <w:r>
        <w:rPr>
          <w:b/>
        </w:rPr>
        <w:t xml:space="preserve">4. Mobile-first capture controls: </w:t>
      </w:r>
      <w:r>
        <w:t>The large capture control is already helpful. Further optimizing the essential capture actions for one-handed mobile/tablet use could make live data collection even easier.</w:t>
      </w:r>
    </w:p>
    <w:p>
      <w:pPr>
        <w:spacing w:after="100"/>
      </w:pPr>
      <w:r>
        <w:rPr>
          <w:b/>
        </w:rPr>
        <w:t xml:space="preserve">5. Compact session summary: </w:t>
      </w:r>
      <w:r>
        <w:t>After capture, show the latest result, goal target, and recent trend together in a compact summary before the professional leaves the session.</w:t>
      </w:r>
    </w:p>
    <w:p>
      <w:pPr>
        <w:pStyle w:val="Heading1"/>
      </w:pPr>
      <w:r>
        <w:t>8. Overall Product Understanding</w:t>
      </w:r>
    </w:p>
    <w:p>
      <w:r>
        <w:t>The main value I observed in the Take Data workflow is that it turns a potentially repetitive data-entry task into a focused interaction. The professional can move from a student's caseload record to a specific goal, capture observations with minimal interaction, and then review the same information through visual and statistical views. The workflow is therefore centered around reducing friction in data collection while keeping the resulting information useful for progress monitoring.</w:t>
      </w:r>
    </w:p>
    <w:p>
      <w:pPr>
        <w:spacing w:before="300"/>
        <w:jc w:val="center"/>
      </w:pPr>
      <w:r>
        <w:rPr>
          <w:b/>
          <w:sz w:val="20"/>
        </w:rPr>
        <w:t>End of Walkthrough</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AbleSpace Product Walkthrough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AbleSpace Walkthrough | Part 2 – Product Understanding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