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BE5860">
      <w:pPr>
        <w:pStyle w:val="2"/>
        <w:spacing w:after="200"/>
        <w:jc w:val="center"/>
      </w:pPr>
      <w:r>
        <w:t xml:space="preserve">GlobalMart </w:t>
      </w:r>
      <w:r>
        <w:rPr>
          <w:rFonts w:hint="default"/>
          <w:lang w:val="en-IN"/>
        </w:rPr>
        <w:t>-</w:t>
      </w:r>
      <w:bookmarkStart w:id="0" w:name="_GoBack"/>
      <w:bookmarkEnd w:id="0"/>
      <w:r>
        <w:t xml:space="preserve"> Architecture Document</w:t>
      </w:r>
    </w:p>
    <w:p w14:paraId="08E81905">
      <w:pPr>
        <w:spacing w:after="120"/>
        <w:jc w:val="left"/>
      </w:pPr>
      <w:r>
        <w:rPr>
          <w:i/>
          <w:iCs/>
        </w:rPr>
        <w:t>Medallion pipelines (`Bronze.py`, `Silver.py`, `Gold.py`) + Gen AI notebooks (UC1–UC4).</w:t>
      </w:r>
    </w:p>
    <w:p w14:paraId="597D543A">
      <w:pPr>
        <w:spacing w:after="200"/>
      </w:pPr>
      <w:r>
        <w:t xml:space="preserve">  </w:t>
      </w:r>
    </w:p>
    <w:p w14:paraId="0447CAE6">
      <w:pPr>
        <w:pStyle w:val="3"/>
        <w:numPr>
          <w:ilvl w:val="0"/>
          <w:numId w:val="1"/>
        </w:numPr>
        <w:spacing w:after="200"/>
        <w:jc w:val="left"/>
      </w:pPr>
      <w:r>
        <w:t>Data flow diagram (end-to-end)</w:t>
      </w:r>
    </w:p>
    <w:p w14:paraId="01854FD8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727700" cy="1771015"/>
            <wp:effectExtent l="0" t="0" r="2540" b="12065"/>
            <wp:docPr id="1" name="Picture 1" descr="Screenshot 2026-03-27 185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3-27 18505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FAE7">
      <w:pPr>
        <w:numPr>
          <w:numId w:val="0"/>
        </w:numPr>
      </w:pPr>
    </w:p>
    <w:p w14:paraId="5FAC0380">
      <w:pPr>
        <w:spacing w:after="120"/>
        <w:jc w:val="left"/>
      </w:pPr>
      <w:r>
        <w:rPr>
          <w:b/>
          <w:bCs/>
        </w:rPr>
        <w:t>Narrative (source → user):</w:t>
      </w:r>
      <w:r>
        <w:t xml:space="preserve"> Regional CSV and JSON files land in a </w:t>
      </w:r>
      <w:r>
        <w:rPr>
          <w:b/>
          <w:bCs/>
        </w:rPr>
        <w:t>Volume</w:t>
      </w:r>
      <w:r>
        <w:t xml:space="preserve">. </w:t>
      </w:r>
      <w:r>
        <w:rPr>
          <w:b/>
          <w:bCs/>
        </w:rPr>
        <w:t>Bronze</w:t>
      </w:r>
      <w:r>
        <w:t xml:space="preserve"> ingests them incrementally (Auto Loader), preserving lineage. </w:t>
      </w:r>
      <w:r>
        <w:rPr>
          <w:b/>
          <w:bCs/>
        </w:rPr>
        <w:t>Silver</w:t>
      </w:r>
      <w:r>
        <w:t xml:space="preserve"> standardizes schemas, applies </w:t>
      </w:r>
      <w:r>
        <w:rPr>
          <w:b/>
          <w:bCs/>
        </w:rPr>
        <w:t>data quality rules</w:t>
      </w:r>
      <w:r>
        <w:t xml:space="preserve">, and splits </w:t>
      </w:r>
      <w:r>
        <w:rPr>
          <w:b/>
          <w:bCs/>
        </w:rPr>
        <w:t>pass</w:t>
      </w:r>
      <w:r>
        <w:t xml:space="preserve"> vs </w:t>
      </w:r>
      <w:r>
        <w:rPr>
          <w:b/>
          <w:bCs/>
        </w:rPr>
        <w:t>quarantine</w:t>
      </w:r>
      <w:r>
        <w:t xml:space="preserve"> rows. </w:t>
      </w:r>
      <w:r>
        <w:rPr>
          <w:b/>
          <w:bCs/>
        </w:rPr>
        <w:t>Gold</w:t>
      </w:r>
      <w:r>
        <w:t xml:space="preserve"> builds a </w:t>
      </w:r>
      <w:r>
        <w:rPr>
          <w:b/>
          <w:bCs/>
        </w:rPr>
        <w:t>star schema</w:t>
      </w:r>
      <w:r>
        <w:t xml:space="preserve"> (dimensions + facts) and </w:t>
      </w:r>
      <w:r>
        <w:rPr>
          <w:b/>
          <w:bCs/>
        </w:rPr>
        <w:t>pre-aggregates</w:t>
      </w:r>
      <w:r>
        <w:t xml:space="preserve"> KPIs. </w:t>
      </w:r>
      <w:r>
        <w:rPr>
          <w:b/>
          <w:bCs/>
        </w:rPr>
        <w:t>Gen AI</w:t>
      </w:r>
      <w:r>
        <w:t xml:space="preserve"> notebooks read </w:t>
      </w:r>
      <w:r>
        <w:rPr>
          <w:b/>
          <w:bCs/>
        </w:rPr>
        <w:t>Silver quarantine</w:t>
      </w:r>
      <w:r>
        <w:t xml:space="preserve"> and/or </w:t>
      </w:r>
      <w:r>
        <w:rPr>
          <w:b/>
          <w:bCs/>
        </w:rPr>
        <w:t>Gold</w:t>
      </w:r>
      <w:r>
        <w:t xml:space="preserve"> tables and write </w:t>
      </w:r>
      <w:r>
        <w:rPr>
          <w:b/>
          <w:bCs/>
        </w:rPr>
        <w:t>Gold Delta tables</w:t>
      </w:r>
      <w:r>
        <w:t xml:space="preserve"> with narratives or scores. </w:t>
      </w:r>
      <w:r>
        <w:rPr>
          <w:b/>
          <w:bCs/>
        </w:rPr>
        <w:t>Finance, returns, and merchandising</w:t>
      </w:r>
      <w:r>
        <w:t xml:space="preserve"> consume results via </w:t>
      </w:r>
      <w:r>
        <w:rPr>
          <w:b/>
          <w:bCs/>
        </w:rPr>
        <w:t>Unity Catalog</w:t>
      </w:r>
      <w:r>
        <w:t xml:space="preserve">, </w:t>
      </w:r>
      <w:r>
        <w:rPr>
          <w:b/>
          <w:bCs/>
        </w:rPr>
        <w:t>SQL</w:t>
      </w:r>
      <w:r>
        <w:t xml:space="preserve">, and </w:t>
      </w:r>
      <w:r>
        <w:rPr>
          <w:b/>
          <w:bCs/>
        </w:rPr>
        <w:t>dashboards</w:t>
      </w:r>
      <w:r>
        <w:t>.</w:t>
      </w:r>
    </w:p>
    <w:p w14:paraId="415CCF86">
      <w:pPr>
        <w:spacing w:after="200"/>
      </w:pPr>
      <w:r>
        <w:t xml:space="preserve"> </w:t>
      </w:r>
    </w:p>
    <w:p w14:paraId="3798CF43">
      <w:pPr>
        <w:pStyle w:val="3"/>
        <w:spacing w:after="200"/>
        <w:jc w:val="left"/>
      </w:pPr>
      <w:r>
        <w:t>2. Component map</w:t>
      </w:r>
    </w:p>
    <w:p w14:paraId="03FEE98A">
      <w:pPr>
        <w:spacing w:after="240"/>
      </w:pPr>
      <w:r>
        <w:t xml:space="preserve"> 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706"/>
        <w:gridCol w:w="2059"/>
        <w:gridCol w:w="3500"/>
      </w:tblGrid>
      <w:tr w14:paraId="15FDD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C242141">
            <w:pPr>
              <w:jc w:val="left"/>
            </w:pPr>
            <w:r>
              <w:rPr>
                <w:b/>
                <w:bCs/>
              </w:rPr>
              <w:t>Component</w:t>
            </w:r>
          </w:p>
        </w:tc>
        <w:tc>
          <w:p w14:paraId="546149F0">
            <w:pPr>
              <w:jc w:val="left"/>
            </w:pPr>
            <w:r>
              <w:rPr>
                <w:b/>
                <w:bCs/>
              </w:rPr>
              <w:t>Layer</w:t>
            </w:r>
          </w:p>
        </w:tc>
        <w:tc>
          <w:p w14:paraId="725F8C02">
            <w:pPr>
              <w:jc w:val="left"/>
            </w:pPr>
            <w:r>
              <w:rPr>
                <w:b/>
                <w:bCs/>
              </w:rPr>
              <w:t>Role</w:t>
            </w:r>
          </w:p>
        </w:tc>
      </w:tr>
      <w:tr w14:paraId="478A8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530CB50">
            <w:pPr>
              <w:jc w:val="left"/>
            </w:pPr>
            <w:r>
              <w:rPr>
                <w:b/>
                <w:bCs/>
              </w:rPr>
              <w:t>CSV / JSON source files</w:t>
            </w:r>
            <w:r>
              <w:t xml:space="preserve"> (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GlobalMart_Retail_Data/</w:t>
            </w:r>
            <w:r>
              <w:t>)</w:t>
            </w:r>
          </w:p>
        </w:tc>
        <w:tc>
          <w:p w14:paraId="3A749B4F">
            <w:pPr>
              <w:jc w:val="left"/>
            </w:pPr>
            <w:r>
              <w:t>Source</w:t>
            </w:r>
          </w:p>
        </w:tc>
        <w:tc>
          <w:p w14:paraId="114E0ADF">
            <w:pPr>
              <w:jc w:val="left"/>
            </w:pPr>
            <w:r>
              <w:t>Authoritative retail extracts (multi-region).</w:t>
            </w:r>
          </w:p>
        </w:tc>
      </w:tr>
      <w:tr w14:paraId="5DF59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F73B5DC">
            <w:pPr>
              <w:jc w:val="left"/>
            </w:pPr>
            <w:r>
              <w:rPr>
                <w:b/>
                <w:bCs/>
              </w:rPr>
              <w:t>Unity Catalog Volume</w:t>
            </w:r>
            <w:r>
              <w:t xml:space="preserve"> (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/Volumes/globalmart/raw/landing_files/...</w:t>
            </w:r>
            <w:r>
              <w:t>)</w:t>
            </w:r>
          </w:p>
        </w:tc>
        <w:tc>
          <w:p w14:paraId="38730E1B">
            <w:pPr>
              <w:jc w:val="left"/>
            </w:pPr>
            <w:r>
              <w:t>Landing</w:t>
            </w:r>
          </w:p>
        </w:tc>
        <w:tc>
          <w:p w14:paraId="4E5EAB99">
            <w:pPr>
              <w:jc w:val="left"/>
            </w:pPr>
            <w:r>
              <w:t xml:space="preserve">Stores raw files for Auto Loader paths in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Bronze.py</w:t>
            </w:r>
            <w:r>
              <w:t>.</w:t>
            </w:r>
          </w:p>
        </w:tc>
      </w:tr>
      <w:tr w14:paraId="32DD1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8F67349">
            <w:pPr>
              <w:jc w:val="left"/>
            </w:pPr>
            <w:r>
              <w:rPr>
                <w:b/>
                <w:bCs/>
              </w:rPr>
              <w:t>Delta Live Tables (DLT)</w:t>
            </w:r>
            <w:r>
              <w:t xml:space="preserve"> — Python</w:t>
            </w:r>
          </w:p>
        </w:tc>
        <w:tc>
          <w:p w14:paraId="761E8B6A">
            <w:pPr>
              <w:jc w:val="left"/>
            </w:pPr>
            <w:r>
              <w:t>Pipeline orchestration</w:t>
            </w:r>
          </w:p>
        </w:tc>
        <w:tc>
          <w:p w14:paraId="201F3805">
            <w:pPr>
              <w:jc w:val="left"/>
            </w:pPr>
            <w:r>
              <w:t>Declarative tables/views; Bronze + Silver + Gold pipelines.</w:t>
            </w:r>
          </w:p>
        </w:tc>
      </w:tr>
      <w:tr w14:paraId="41F6C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3C7E540">
            <w:pPr>
              <w:jc w:val="left"/>
            </w:pPr>
            <w:r>
              <w:rPr>
                <w:b/>
                <w:bCs/>
              </w:rPr>
              <w:t>Auto Loader (`cloudFiles`)</w:t>
            </w:r>
          </w:p>
        </w:tc>
        <w:tc>
          <w:p w14:paraId="4A7B74B2">
            <w:pPr>
              <w:jc w:val="left"/>
            </w:pPr>
            <w:r>
              <w:t>Bronze</w:t>
            </w:r>
          </w:p>
        </w:tc>
        <w:tc>
          <w:p w14:paraId="51CCE662">
            <w:pPr>
              <w:jc w:val="left"/>
            </w:pPr>
            <w:r>
              <w:t xml:space="preserve">Streaming ingestion; schema hints + evolution at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_schemas/dlt_bronze</w:t>
            </w:r>
            <w:r>
              <w:t>.</w:t>
            </w:r>
          </w:p>
        </w:tc>
      </w:tr>
      <w:tr w14:paraId="16A4E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FE69B53">
            <w:pPr>
              <w:jc w:val="left"/>
            </w:pPr>
            <w:r>
              <w:rPr>
                <w:b/>
                <w:bCs/>
              </w:rPr>
              <w:t>Apache Spark / PySpark</w:t>
            </w:r>
          </w:p>
        </w:tc>
        <w:tc>
          <w:p w14:paraId="70AD026A">
            <w:pPr>
              <w:jc w:val="left"/>
            </w:pPr>
            <w:r>
              <w:t>Bronze–Gold</w:t>
            </w:r>
          </w:p>
        </w:tc>
        <w:tc>
          <w:p w14:paraId="773FB15C">
            <w:pPr>
              <w:jc w:val="left"/>
            </w:pPr>
            <w:r>
              <w:t>Transformations, joins, windowing, aggregates.</w:t>
            </w:r>
          </w:p>
        </w:tc>
      </w:tr>
      <w:tr w14:paraId="75C27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96ABB1B">
            <w:pPr>
              <w:jc w:val="left"/>
            </w:pPr>
            <w:r>
              <w:rPr>
                <w:b/>
                <w:bCs/>
              </w:rPr>
              <w:t>Delta Lake</w:t>
            </w:r>
          </w:p>
        </w:tc>
        <w:tc>
          <w:p w14:paraId="5A7E1962">
            <w:pPr>
              <w:jc w:val="left"/>
            </w:pPr>
            <w:r>
              <w:t>Bronze–Gold + AI outputs</w:t>
            </w:r>
          </w:p>
        </w:tc>
        <w:tc>
          <w:p w14:paraId="139133E8">
            <w:pPr>
              <w:jc w:val="left"/>
            </w:pPr>
            <w:r>
              <w:t xml:space="preserve">ACID tables, time travel,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saveAsTable</w:t>
            </w:r>
            <w:r>
              <w:t xml:space="preserve"> / DLT targets.</w:t>
            </w:r>
          </w:p>
        </w:tc>
      </w:tr>
      <w:tr w14:paraId="7FD71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E9AEC0F">
            <w:pPr>
              <w:jc w:val="left"/>
            </w:pPr>
            <w:r>
              <w:rPr>
                <w:b/>
                <w:bCs/>
              </w:rPr>
              <w:t>Unity Catalog</w:t>
            </w:r>
            <w:r>
              <w:t xml:space="preserve"> (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globalmart</w:t>
            </w:r>
            <w:r>
              <w:t xml:space="preserve"> catalog,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bronze</w:t>
            </w:r>
            <w:r>
              <w:t xml:space="preserve"> /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silver</w:t>
            </w:r>
            <w:r>
              <w:t xml:space="preserve"> /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gold</w:t>
            </w:r>
            <w:r>
              <w:t xml:space="preserve"> schemas)</w:t>
            </w:r>
          </w:p>
        </w:tc>
        <w:tc>
          <w:p w14:paraId="6EE6F893">
            <w:pPr>
              <w:jc w:val="left"/>
            </w:pPr>
            <w:r>
              <w:t>Governance</w:t>
            </w:r>
          </w:p>
        </w:tc>
        <w:tc>
          <w:p w14:paraId="563DA8BF">
            <w:pPr>
              <w:jc w:val="left"/>
            </w:pPr>
            <w:r>
              <w:t>Table discovery, ACLs, lineage to consumers.</w:t>
            </w:r>
          </w:p>
        </w:tc>
      </w:tr>
      <w:tr w14:paraId="71508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4543B26">
            <w:pPr>
              <w:jc w:val="left"/>
            </w:pPr>
            <w:r>
              <w:rPr>
                <w:b/>
                <w:bCs/>
              </w:rPr>
              <w:t>Databricks Notebooks</w:t>
            </w:r>
          </w:p>
        </w:tc>
        <w:tc>
          <w:p w14:paraId="33B5A527">
            <w:pPr>
              <w:jc w:val="left"/>
            </w:pPr>
            <w:r>
              <w:t>Development / Gen AI</w:t>
            </w:r>
          </w:p>
        </w:tc>
        <w:tc>
          <w:p w14:paraId="7E54BBD2">
            <w:pPr>
              <w:jc w:val="left"/>
            </w:pPr>
            <w:r>
              <w:t xml:space="preserve">UC1–UC4: LLM calls, RAG,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ai_query()</w:t>
            </w:r>
            <w:r>
              <w:t xml:space="preserve"> demos.</w:t>
            </w:r>
          </w:p>
        </w:tc>
      </w:tr>
      <w:tr w14:paraId="2F5FF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0741A46">
            <w:pPr>
              <w:jc w:val="left"/>
            </w:pPr>
            <w:r>
              <w:rPr>
                <w:b/>
                <w:bCs/>
              </w:rPr>
              <w:t>OpenAI-compatible client</w:t>
            </w:r>
            <w:r>
              <w:t xml:space="preserve"> (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openai</w:t>
            </w:r>
            <w:r>
              <w:t xml:space="preserve"> SDK, Databricks token)</w:t>
            </w:r>
          </w:p>
        </w:tc>
        <w:tc>
          <w:p w14:paraId="605D935F">
            <w:pPr>
              <w:jc w:val="left"/>
            </w:pPr>
            <w:r>
              <w:t>Gen AI</w:t>
            </w:r>
          </w:p>
        </w:tc>
        <w:tc>
          <w:p w14:paraId="17CEAD6D">
            <w:pPr>
              <w:jc w:val="left"/>
            </w:pPr>
            <w:r>
              <w:t xml:space="preserve">Calls serving endpoint </w:t>
            </w:r>
            <w:r>
              <w:rPr>
                <w:b/>
                <w:bCs/>
              </w:rPr>
              <w:t>`databricks-gpt-oss-20b`</w:t>
            </w:r>
            <w:r>
              <w:t>.</w:t>
            </w:r>
          </w:p>
        </w:tc>
      </w:tr>
      <w:tr w14:paraId="3A5B5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CF021AC">
            <w:pPr>
              <w:jc w:val="left"/>
            </w:pPr>
            <w:r>
              <w:rPr>
                <w:b/>
                <w:bCs/>
              </w:rPr>
              <w:t>Sentence Transformers + FAISS</w:t>
            </w:r>
            <w:r>
              <w:t xml:space="preserve"> (UC3)</w:t>
            </w:r>
          </w:p>
        </w:tc>
        <w:tc>
          <w:p w14:paraId="0A534A58">
            <w:pPr>
              <w:jc w:val="left"/>
            </w:pPr>
            <w:r>
              <w:t>Gen AI</w:t>
            </w:r>
          </w:p>
        </w:tc>
        <w:tc>
          <w:p w14:paraId="443C556E">
            <w:pPr>
              <w:jc w:val="left"/>
            </w:pPr>
            <w:r>
              <w:t>Local embeddings + vector search for RAG.</w:t>
            </w:r>
          </w:p>
        </w:tc>
      </w:tr>
      <w:tr w14:paraId="537C4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903C78A">
            <w:pPr>
              <w:jc w:val="left"/>
            </w:pPr>
            <w:r>
              <w:rPr>
                <w:b/>
                <w:bCs/>
              </w:rPr>
              <w:t>`ai_query()`</w:t>
            </w:r>
            <w:r>
              <w:t xml:space="preserve"> (UC4 SQL cells)</w:t>
            </w:r>
          </w:p>
        </w:tc>
        <w:tc>
          <w:p w14:paraId="7C6F889B">
            <w:pPr>
              <w:jc w:val="left"/>
            </w:pPr>
            <w:r>
              <w:t>Gen AI</w:t>
            </w:r>
          </w:p>
        </w:tc>
        <w:tc>
          <w:p w14:paraId="3E6D93F6">
            <w:pPr>
              <w:jc w:val="left"/>
            </w:pPr>
            <w:r>
              <w:t>SQL-side LLM prompts on KPI JSON.</w:t>
            </w:r>
          </w:p>
        </w:tc>
      </w:tr>
    </w:tbl>
    <w:p w14:paraId="2AE1F6E2">
      <w:pPr>
        <w:spacing w:after="200"/>
      </w:pPr>
      <w:r>
        <w:t xml:space="preserve"> </w:t>
      </w:r>
    </w:p>
    <w:p w14:paraId="43718C91">
      <w:pPr>
        <w:pStyle w:val="3"/>
        <w:spacing w:after="200"/>
        <w:jc w:val="left"/>
      </w:pPr>
      <w:r>
        <w:t>3. Data quality strategy (by layer)</w:t>
      </w:r>
    </w:p>
    <w:p w14:paraId="25F2C5A8">
      <w:pPr>
        <w:pStyle w:val="4"/>
        <w:spacing w:after="200"/>
        <w:jc w:val="left"/>
      </w:pPr>
      <w:r>
        <w:t>Bronze</w:t>
      </w:r>
    </w:p>
    <w:p w14:paraId="00B6AC2D">
      <w:pPr>
        <w:pStyle w:val="14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>Ingest as-is</w:t>
      </w:r>
      <w:r>
        <w:t xml:space="preserve"> with </w:t>
      </w:r>
      <w:r>
        <w:rPr>
          <w:b/>
          <w:bCs/>
        </w:rPr>
        <w:t>`_ingest_timestamp`</w:t>
      </w:r>
      <w:r>
        <w:t xml:space="preserve"> and </w:t>
      </w:r>
      <w:r>
        <w:rPr>
          <w:b/>
          <w:bCs/>
        </w:rPr>
        <w:t>`_source_file_path`</w:t>
      </w:r>
      <w:r>
        <w:t xml:space="preserve"> for lineage.</w:t>
      </w:r>
    </w:p>
    <w:p w14:paraId="7DD57393">
      <w:pPr>
        <w:pStyle w:val="14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>Schema discipline:</w:t>
      </w:r>
      <w:r>
        <w:t xml:space="preserve"> </w:t>
      </w:r>
      <w:r>
        <w:rPr>
          <w:rFonts w:ascii="Courier New" w:hAnsi="Courier New" w:eastAsia="Courier New" w:cs="Courier New"/>
          <w:shd w:val="clear" w:color="auto" w:fill="F1F5F9"/>
        </w:rPr>
        <w:t>inferSchema=false</w:t>
      </w:r>
      <w:r>
        <w:t xml:space="preserve"> + </w:t>
      </w:r>
      <w:r>
        <w:rPr>
          <w:b/>
          <w:bCs/>
        </w:rPr>
        <w:t>Auto Loader schema location</w:t>
      </w:r>
      <w:r>
        <w:t xml:space="preserve"> + </w:t>
      </w:r>
      <w:r>
        <w:rPr>
          <w:b/>
          <w:bCs/>
        </w:rPr>
        <w:t>`addNewColumns`</w:t>
      </w:r>
      <w:r>
        <w:t xml:space="preserve"> evolution.</w:t>
      </w:r>
    </w:p>
    <w:p w14:paraId="78C734EE">
      <w:pPr>
        <w:pStyle w:val="14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>Format handling:</w:t>
      </w:r>
      <w:r>
        <w:t xml:space="preserve"> CSV with header; JSON multi-line; recursive file lookup for regional paths.</w:t>
      </w:r>
    </w:p>
    <w:p w14:paraId="06EEE984">
      <w:pPr>
        <w:spacing w:after="200"/>
      </w:pPr>
      <w:r>
        <w:t xml:space="preserve"> </w:t>
      </w:r>
    </w:p>
    <w:p w14:paraId="44015CF5">
      <w:pPr>
        <w:pStyle w:val="4"/>
        <w:spacing w:after="200"/>
        <w:jc w:val="left"/>
      </w:pPr>
      <w:r>
        <w:t>Silver</w:t>
      </w:r>
    </w:p>
    <w:p w14:paraId="6D25D0D1">
      <w:pPr>
        <w:pStyle w:val="14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>Harmonization:</w:t>
      </w:r>
      <w:r>
        <w:t xml:space="preserve"> One canonical id per entity (e.g. coalesce regional </w:t>
      </w:r>
      <w:r>
        <w:rPr>
          <w:rFonts w:ascii="Courier New" w:hAnsi="Courier New" w:eastAsia="Courier New" w:cs="Courier New"/>
          <w:shd w:val="clear" w:color="auto" w:fill="F1F5F9"/>
        </w:rPr>
        <w:t>customer_id</w:t>
      </w:r>
      <w:r>
        <w:t xml:space="preserve"> variants); timestamp and money parsing; segment/region/return-status normalization; </w:t>
      </w:r>
      <w:r>
        <w:rPr>
          <w:b/>
          <w:bCs/>
        </w:rPr>
        <w:t>Region 4 city/state fix</w:t>
      </w:r>
      <w:r>
        <w:t xml:space="preserve"> using file path.</w:t>
      </w:r>
    </w:p>
    <w:p w14:paraId="792083D4">
      <w:pPr>
        <w:pStyle w:val="14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>Row-level rules</w:t>
      </w:r>
      <w:r>
        <w:t xml:space="preserve"> encoded in </w:t>
      </w:r>
      <w:r>
        <w:rPr>
          <w:b/>
          <w:bCs/>
        </w:rPr>
        <w:t>`failure_reasons`</w:t>
      </w:r>
      <w:r>
        <w:t xml:space="preserve"> (semicolon-separated tokens), e.g. null keys, invalid vendor pattern, non-US country (customers), negative sales (transactions), invalid return status (returns), etc.</w:t>
      </w:r>
    </w:p>
    <w:p w14:paraId="7E435257">
      <w:pPr>
        <w:pStyle w:val="14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>Split outcomes:</w:t>
      </w:r>
      <w:r>
        <w:t xml:space="preserve"> Valid rows → </w:t>
      </w:r>
      <w:r>
        <w:rPr>
          <w:b/>
          <w:bCs/>
        </w:rPr>
        <w:t>`globalmart.silver.&lt;entity&gt;`</w:t>
      </w:r>
      <w:r>
        <w:t xml:space="preserve">; invalid → </w:t>
      </w:r>
      <w:r>
        <w:rPr>
          <w:b/>
          <w:bCs/>
        </w:rPr>
        <w:t>`globalmart.silver.quarantine_&lt;entity&gt;`</w:t>
      </w:r>
      <w:r>
        <w:t xml:space="preserve"> (retains </w:t>
      </w:r>
      <w:r>
        <w:rPr>
          <w:rFonts w:ascii="Courier New" w:hAnsi="Courier New" w:eastAsia="Courier New" w:cs="Courier New"/>
          <w:shd w:val="clear" w:color="auto" w:fill="F1F5F9"/>
        </w:rPr>
        <w:t>failure_reasons</w:t>
      </w:r>
      <w:r>
        <w:t>).</w:t>
      </w:r>
    </w:p>
    <w:p w14:paraId="75F09E7C">
      <w:pPr>
        <w:pStyle w:val="14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>DLT expectations (`@dlt.expect`)</w:t>
      </w:r>
      <w:r>
        <w:t xml:space="preserve"> on silver tables for critical columns (e.g. non-null ids, vendor </w:t>
      </w:r>
      <w:r>
        <w:rPr>
          <w:rFonts w:ascii="Courier New" w:hAnsi="Courier New" w:eastAsia="Courier New" w:cs="Courier New"/>
          <w:shd w:val="clear" w:color="auto" w:fill="F1F5F9"/>
        </w:rPr>
        <w:t>VEN##</w:t>
      </w:r>
      <w:r>
        <w:t xml:space="preserve"> pattern on orders).</w:t>
      </w:r>
    </w:p>
    <w:p w14:paraId="658D7EE6">
      <w:pPr>
        <w:pStyle w:val="14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>Monitoring:</w:t>
      </w:r>
      <w:r>
        <w:t xml:space="preserve"> </w:t>
      </w:r>
      <w:r>
        <w:rPr>
          <w:b/>
          <w:bCs/>
        </w:rPr>
        <w:t>`globalmart.silver.quality_run_summary`</w:t>
      </w:r>
      <w:r>
        <w:t xml:space="preserve"> — accepted vs rejected counts per entity per run.</w:t>
      </w:r>
    </w:p>
    <w:p w14:paraId="17ED5463">
      <w:pPr>
        <w:spacing w:after="200"/>
      </w:pPr>
      <w:r>
        <w:t xml:space="preserve"> </w:t>
      </w:r>
    </w:p>
    <w:p w14:paraId="61581529">
      <w:pPr>
        <w:pStyle w:val="4"/>
        <w:spacing w:after="200"/>
        <w:jc w:val="left"/>
      </w:pPr>
      <w:r>
        <w:t>Gold</w:t>
      </w:r>
    </w:p>
    <w:p w14:paraId="1BF9A1F7">
      <w:pPr>
        <w:pStyle w:val="14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>Consume only trusted Silver</w:t>
      </w:r>
      <w:r>
        <w:t xml:space="preserve"> pass tables (no quarantine in facts/dims).</w:t>
      </w:r>
    </w:p>
    <w:p w14:paraId="06C417AE">
      <w:pPr>
        <w:pStyle w:val="14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>Referential consistency</w:t>
      </w:r>
      <w:r>
        <w:t xml:space="preserve"> enforced by join design (e.g. </w:t>
      </w:r>
      <w:r>
        <w:rPr>
          <w:rFonts w:ascii="Courier New" w:hAnsi="Courier New" w:eastAsia="Courier New" w:cs="Courier New"/>
          <w:shd w:val="clear" w:color="auto" w:fill="F1F5F9"/>
        </w:rPr>
        <w:t>fact_sales</w:t>
      </w:r>
      <w:r>
        <w:t xml:space="preserve"> inner-joins orders + customers).</w:t>
      </w:r>
    </w:p>
    <w:p w14:paraId="1E57A066">
      <w:pPr>
        <w:pStyle w:val="14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>Business definitions</w:t>
      </w:r>
      <w:r>
        <w:t xml:space="preserve"> fixed in facts/aggregates (grain documented in </w:t>
      </w:r>
      <w:r>
        <w:rPr>
          <w:rFonts w:ascii="Courier New" w:hAnsi="Courier New" w:eastAsia="Courier New" w:cs="Courier New"/>
          <w:shd w:val="clear" w:color="auto" w:fill="F1F5F9"/>
        </w:rPr>
        <w:t>Gold.py</w:t>
      </w:r>
      <w:r>
        <w:t xml:space="preserve"> comments).</w:t>
      </w:r>
    </w:p>
    <w:p w14:paraId="41E199E3">
      <w:pPr>
        <w:spacing w:after="200"/>
      </w:pPr>
      <w:r>
        <w:t xml:space="preserve"> </w:t>
      </w:r>
    </w:p>
    <w:p w14:paraId="2EC60C00">
      <w:pPr>
        <w:pStyle w:val="3"/>
        <w:spacing w:after="200"/>
        <w:jc w:val="left"/>
      </w:pPr>
      <w:r>
        <w:t>4. Analytics layer structure (Gold — top of stack)</w:t>
      </w:r>
    </w:p>
    <w:p w14:paraId="2A340DFA">
      <w:pPr>
        <w:spacing w:after="120"/>
        <w:jc w:val="left"/>
      </w:pPr>
      <w:r>
        <w:rPr>
          <w:b/>
          <w:bCs/>
        </w:rPr>
        <w:t>Catalog:</w:t>
      </w:r>
      <w:r>
        <w:t xml:space="preserve"> </w:t>
      </w:r>
      <w:r>
        <w:rPr>
          <w:rFonts w:ascii="Courier New" w:hAnsi="Courier New" w:eastAsia="Courier New" w:cs="Courier New"/>
          <w:shd w:val="clear" w:color="auto" w:fill="F1F5F9"/>
        </w:rPr>
        <w:t>globalmart.gold</w:t>
      </w:r>
    </w:p>
    <w:p w14:paraId="2785A949">
      <w:pPr>
        <w:spacing w:after="200"/>
      </w:pPr>
      <w:r>
        <w:t xml:space="preserve"> </w:t>
      </w:r>
    </w:p>
    <w:p w14:paraId="570CD0A5">
      <w:pPr>
        <w:pStyle w:val="4"/>
        <w:spacing w:after="200"/>
        <w:jc w:val="left"/>
      </w:pPr>
      <w:r>
        <w:t>Dimensions (descriptive context)</w:t>
      </w:r>
    </w:p>
    <w:p w14:paraId="11E77D6F">
      <w:pPr>
        <w:spacing w:after="240"/>
      </w:pPr>
      <w:r>
        <w:t xml:space="preserve"> 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51"/>
        <w:gridCol w:w="3536"/>
        <w:gridCol w:w="3779"/>
      </w:tblGrid>
      <w:tr w14:paraId="771C2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66EBDB2">
            <w:pPr>
              <w:jc w:val="left"/>
            </w:pPr>
            <w:r>
              <w:rPr>
                <w:b/>
                <w:bCs/>
              </w:rPr>
              <w:t>Table</w:t>
            </w:r>
          </w:p>
        </w:tc>
        <w:tc>
          <w:p w14:paraId="1FAEAD04">
            <w:pPr>
              <w:jc w:val="left"/>
            </w:pPr>
            <w:r>
              <w:rPr>
                <w:b/>
                <w:bCs/>
              </w:rPr>
              <w:t>What it measures / holds</w:t>
            </w:r>
          </w:p>
        </w:tc>
        <w:tc>
          <w:p w14:paraId="003357BD">
            <w:pPr>
              <w:jc w:val="left"/>
            </w:pPr>
            <w:r>
              <w:rPr>
                <w:b/>
                <w:bCs/>
              </w:rPr>
              <w:t>Keys / notes</w:t>
            </w:r>
          </w:p>
        </w:tc>
      </w:tr>
      <w:tr w14:paraId="042C2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91B1194">
            <w:pPr>
              <w:jc w:val="left"/>
            </w:pPr>
            <w:r>
              <w:rPr>
                <w:b/>
                <w:bCs/>
              </w:rPr>
              <w:t>dim_region</w:t>
            </w:r>
          </w:p>
        </w:tc>
        <w:tc>
          <w:p w14:paraId="5087F537">
            <w:pPr>
              <w:jc w:val="left"/>
            </w:pPr>
            <w:r>
              <w:t xml:space="preserve">Distinct </w:t>
            </w:r>
            <w:r>
              <w:rPr>
                <w:b/>
                <w:bCs/>
              </w:rPr>
              <w:t>regions</w:t>
            </w:r>
            <w:r>
              <w:t xml:space="preserve"> from customers</w:t>
            </w:r>
          </w:p>
        </w:tc>
        <w:tc>
          <w:p w14:paraId="2482EFB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region_key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region_name</w:t>
            </w:r>
          </w:p>
        </w:tc>
      </w:tr>
      <w:tr w14:paraId="23E44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706FCF4">
            <w:pPr>
              <w:jc w:val="left"/>
            </w:pPr>
            <w:r>
              <w:rPr>
                <w:b/>
                <w:bCs/>
              </w:rPr>
              <w:t>dim_date</w:t>
            </w:r>
          </w:p>
        </w:tc>
        <w:tc>
          <w:p w14:paraId="2584E47B">
            <w:pPr>
              <w:jc w:val="left"/>
            </w:pPr>
            <w:r>
              <w:rPr>
                <w:b/>
                <w:bCs/>
              </w:rPr>
              <w:t>Calendar</w:t>
            </w:r>
            <w:r>
              <w:t xml:space="preserve"> attributes for order and return dates</w:t>
            </w:r>
          </w:p>
        </w:tc>
        <w:tc>
          <w:p w14:paraId="5B2EA254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date_key</w:t>
            </w:r>
            <w:r>
              <w:t xml:space="preserve"> (YYYYMMDD), year, quarter, month,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year_month</w:t>
            </w:r>
          </w:p>
        </w:tc>
      </w:tr>
      <w:tr w14:paraId="2C74F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0FBE9FB">
            <w:pPr>
              <w:jc w:val="left"/>
            </w:pPr>
            <w:r>
              <w:rPr>
                <w:b/>
                <w:bCs/>
              </w:rPr>
              <w:t>dim_customer</w:t>
            </w:r>
          </w:p>
        </w:tc>
        <w:tc>
          <w:p w14:paraId="1BACFB77">
            <w:pPr>
              <w:jc w:val="left"/>
            </w:pPr>
            <w:r>
              <w:rPr>
                <w:b/>
                <w:bCs/>
              </w:rPr>
              <w:t>Customer</w:t>
            </w:r>
            <w:r>
              <w:t xml:space="preserve"> attributes: segment, region, address</w:t>
            </w:r>
          </w:p>
        </w:tc>
        <w:tc>
          <w:p w14:paraId="025BFDBD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customer_id</w:t>
            </w:r>
            <w:r>
              <w:t xml:space="preserve"> → links to facts</w:t>
            </w:r>
          </w:p>
        </w:tc>
      </w:tr>
      <w:tr w14:paraId="54FEE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7DD50FB">
            <w:pPr>
              <w:jc w:val="left"/>
            </w:pPr>
            <w:r>
              <w:rPr>
                <w:b/>
                <w:bCs/>
              </w:rPr>
              <w:t>dim_product</w:t>
            </w:r>
          </w:p>
        </w:tc>
        <w:tc>
          <w:p w14:paraId="4D719224">
            <w:pPr>
              <w:jc w:val="left"/>
            </w:pPr>
            <w:r>
              <w:rPr>
                <w:b/>
                <w:bCs/>
              </w:rPr>
              <w:t>Product catalog</w:t>
            </w:r>
            <w:r>
              <w:t xml:space="preserve"> (from Silver products)</w:t>
            </w:r>
          </w:p>
        </w:tc>
        <w:tc>
          <w:p w14:paraId="2DF3C8C0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product_id</w:t>
            </w:r>
            <w:r>
              <w:t xml:space="preserve"> → links to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fact_sales</w:t>
            </w:r>
          </w:p>
        </w:tc>
      </w:tr>
      <w:tr w14:paraId="69E3D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76B572E">
            <w:pPr>
              <w:jc w:val="left"/>
            </w:pPr>
            <w:r>
              <w:rPr>
                <w:b/>
                <w:bCs/>
              </w:rPr>
              <w:t>dim_vendor</w:t>
            </w:r>
          </w:p>
        </w:tc>
        <w:tc>
          <w:p w14:paraId="59F0239B">
            <w:pPr>
              <w:jc w:val="left"/>
            </w:pPr>
            <w:r>
              <w:rPr>
                <w:b/>
                <w:bCs/>
              </w:rPr>
              <w:t>Vendor</w:t>
            </w:r>
            <w:r>
              <w:t xml:space="preserve"> reference</w:t>
            </w:r>
          </w:p>
        </w:tc>
        <w:tc>
          <w:p w14:paraId="042AB1ED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vendor_id</w:t>
            </w:r>
            <w:r>
              <w:t xml:space="preserve"> → links to facts</w:t>
            </w:r>
          </w:p>
        </w:tc>
      </w:tr>
    </w:tbl>
    <w:p w14:paraId="7F77F451">
      <w:pPr>
        <w:spacing w:before="240"/>
      </w:pPr>
      <w:r>
        <w:t xml:space="preserve"> </w:t>
      </w:r>
    </w:p>
    <w:p w14:paraId="7E51C247">
      <w:pPr>
        <w:pStyle w:val="4"/>
        <w:spacing w:after="200"/>
        <w:jc w:val="left"/>
      </w:pPr>
      <w:r>
        <w:t>Facts (events / line-level measures)</w:t>
      </w:r>
    </w:p>
    <w:p w14:paraId="191920FB">
      <w:pPr>
        <w:spacing w:after="240"/>
      </w:pPr>
      <w:r>
        <w:t xml:space="preserve"> 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83"/>
        <w:gridCol w:w="2502"/>
        <w:gridCol w:w="5281"/>
      </w:tblGrid>
      <w:tr w14:paraId="1E406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2A6D71C1">
            <w:pPr>
              <w:jc w:val="left"/>
            </w:pPr>
            <w:r>
              <w:rPr>
                <w:b/>
                <w:bCs/>
              </w:rPr>
              <w:t>Table</w:t>
            </w:r>
          </w:p>
        </w:tc>
        <w:tc>
          <w:p w14:paraId="5CF17453">
            <w:pPr>
              <w:jc w:val="left"/>
            </w:pPr>
            <w:r>
              <w:rPr>
                <w:b/>
                <w:bCs/>
              </w:rPr>
              <w:t>Grain</w:t>
            </w:r>
          </w:p>
        </w:tc>
        <w:tc>
          <w:p w14:paraId="375BF73D">
            <w:pPr>
              <w:jc w:val="left"/>
            </w:pPr>
            <w:r>
              <w:rPr>
                <w:b/>
                <w:bCs/>
              </w:rPr>
              <w:t>What it measures</w:t>
            </w:r>
          </w:p>
        </w:tc>
      </w:tr>
      <w:tr w14:paraId="29201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31EE273">
            <w:pPr>
              <w:jc w:val="left"/>
            </w:pPr>
            <w:r>
              <w:rPr>
                <w:b/>
                <w:bCs/>
              </w:rPr>
              <w:t>fact_sales</w:t>
            </w:r>
          </w:p>
        </w:tc>
        <w:tc>
          <w:p w14:paraId="0D9690A6">
            <w:pPr>
              <w:jc w:val="left"/>
            </w:pPr>
            <w:r>
              <w:t xml:space="preserve">One row per </w:t>
            </w:r>
            <w:r>
              <w:rPr>
                <w:b/>
                <w:bCs/>
              </w:rPr>
              <w:t>order line</w:t>
            </w:r>
            <w:r>
              <w:t xml:space="preserve"> (order + product)</w:t>
            </w:r>
          </w:p>
        </w:tc>
        <w:tc>
          <w:p w14:paraId="548538DD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sales_line_key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order_id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product_id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customer_id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vendor_id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region_key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date_key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year_month</w:t>
            </w:r>
            <w:r>
              <w:t xml:space="preserve">, </w:t>
            </w:r>
            <w:r>
              <w:rPr>
                <w:b/>
                <w:bCs/>
              </w:rPr>
              <w:t>sales_amount</w:t>
            </w:r>
            <w:r>
              <w:t xml:space="preserve">, </w:t>
            </w:r>
            <w:r>
              <w:rPr>
                <w:b/>
                <w:bCs/>
              </w:rPr>
              <w:t>quantity</w:t>
            </w:r>
            <w:r>
              <w:t xml:space="preserve">, </w:t>
            </w:r>
            <w:r>
              <w:rPr>
                <w:b/>
                <w:bCs/>
              </w:rPr>
              <w:t>profit</w:t>
            </w:r>
            <w:r>
              <w:t xml:space="preserve">, </w:t>
            </w:r>
            <w:r>
              <w:rPr>
                <w:b/>
                <w:bCs/>
              </w:rPr>
              <w:t>discount_rate</w:t>
            </w:r>
            <w:r>
              <w:t xml:space="preserve">, </w:t>
            </w:r>
            <w:r>
              <w:rPr>
                <w:b/>
                <w:bCs/>
              </w:rPr>
              <w:t>discount_amount</w:t>
            </w:r>
            <w:r>
              <w:t>, flags</w:t>
            </w:r>
          </w:p>
        </w:tc>
      </w:tr>
      <w:tr w14:paraId="612C0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B8F5C26">
            <w:pPr>
              <w:jc w:val="left"/>
            </w:pPr>
            <w:r>
              <w:rPr>
                <w:b/>
                <w:bCs/>
              </w:rPr>
              <w:t>fact_return</w:t>
            </w:r>
          </w:p>
        </w:tc>
        <w:tc>
          <w:p w14:paraId="4A164C56">
            <w:pPr>
              <w:jc w:val="left"/>
            </w:pPr>
            <w:r>
              <w:t xml:space="preserve">One row per </w:t>
            </w:r>
            <w:r>
              <w:rPr>
                <w:b/>
                <w:bCs/>
              </w:rPr>
              <w:t>return</w:t>
            </w:r>
          </w:p>
        </w:tc>
        <w:tc>
          <w:p w14:paraId="4160E7E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return_key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order_id</w:t>
            </w:r>
            <w:r>
              <w:t xml:space="preserve">, </w:t>
            </w:r>
            <w:r>
              <w:rPr>
                <w:b/>
                <w:bCs/>
              </w:rPr>
              <w:t>refund_amount</w:t>
            </w:r>
            <w:r>
              <w:t xml:space="preserve">, </w:t>
            </w:r>
            <w:r>
              <w:rPr>
                <w:b/>
                <w:bCs/>
              </w:rPr>
              <w:t>return_date</w:t>
            </w:r>
            <w:r>
              <w:t xml:space="preserve"> /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return_date_key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return_status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vendor_id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customer_id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region_key</w:t>
            </w:r>
          </w:p>
        </w:tc>
      </w:tr>
    </w:tbl>
    <w:p w14:paraId="2BBCFDC6">
      <w:pPr>
        <w:spacing w:before="240"/>
      </w:pPr>
      <w:r>
        <w:t xml:space="preserve"> </w:t>
      </w:r>
    </w:p>
    <w:p w14:paraId="3352ECCB">
      <w:pPr>
        <w:pStyle w:val="4"/>
        <w:spacing w:after="200"/>
        <w:jc w:val="left"/>
      </w:pPr>
      <w:r>
        <w:t>Aggregates (KPIs for dashboards and AI)</w:t>
      </w:r>
    </w:p>
    <w:p w14:paraId="2E9CFB74">
      <w:pPr>
        <w:spacing w:after="240"/>
      </w:pPr>
      <w:r>
        <w:t xml:space="preserve"> 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32"/>
        <w:gridCol w:w="2613"/>
        <w:gridCol w:w="3920"/>
      </w:tblGrid>
      <w:tr w14:paraId="6B17C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4B2318B1">
            <w:pPr>
              <w:jc w:val="left"/>
            </w:pPr>
            <w:r>
              <w:rPr>
                <w:b/>
                <w:bCs/>
              </w:rPr>
              <w:t>Table</w:t>
            </w:r>
          </w:p>
        </w:tc>
        <w:tc>
          <w:p w14:paraId="60CFC8F6">
            <w:pPr>
              <w:jc w:val="left"/>
            </w:pPr>
            <w:r>
              <w:rPr>
                <w:b/>
                <w:bCs/>
              </w:rPr>
              <w:t>Grain</w:t>
            </w:r>
          </w:p>
        </w:tc>
        <w:tc>
          <w:p w14:paraId="14D67BCB">
            <w:pPr>
              <w:jc w:val="left"/>
            </w:pPr>
            <w:r>
              <w:rPr>
                <w:b/>
                <w:bCs/>
              </w:rPr>
              <w:t>What it measures</w:t>
            </w:r>
          </w:p>
        </w:tc>
      </w:tr>
      <w:tr w14:paraId="59680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F8E15A6">
            <w:pPr>
              <w:jc w:val="left"/>
            </w:pPr>
            <w:r>
              <w:rPr>
                <w:b/>
                <w:bCs/>
              </w:rPr>
              <w:t>agg_monthly_revenue_by_region</w:t>
            </w:r>
          </w:p>
        </w:tc>
        <w:tc>
          <w:p w14:paraId="5CE489FB">
            <w:pPr>
              <w:jc w:val="left"/>
            </w:pPr>
            <w:r>
              <w:rPr>
                <w:b/>
                <w:bCs/>
              </w:rPr>
              <w:t>Month × region</w:t>
            </w:r>
          </w:p>
        </w:tc>
        <w:tc>
          <w:p w14:paraId="19DF1057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total_sales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total_profit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order_count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total_quantity</w:t>
            </w:r>
          </w:p>
        </w:tc>
      </w:tr>
      <w:tr w14:paraId="76892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F91D92A">
            <w:pPr>
              <w:jc w:val="left"/>
            </w:pPr>
            <w:r>
              <w:rPr>
                <w:b/>
                <w:bCs/>
              </w:rPr>
              <w:t>agg_customer_return_summary</w:t>
            </w:r>
          </w:p>
        </w:tc>
        <w:tc>
          <w:p w14:paraId="2C97EEE7">
            <w:pPr>
              <w:jc w:val="left"/>
            </w:pPr>
            <w:r>
              <w:rPr>
                <w:b/>
                <w:bCs/>
              </w:rPr>
              <w:t>Customer × region</w:t>
            </w:r>
          </w:p>
        </w:tc>
        <w:tc>
          <w:p w14:paraId="64EC3800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return_count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total_refund_amount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avg_refund_amount</w:t>
            </w:r>
          </w:p>
        </w:tc>
      </w:tr>
      <w:tr w14:paraId="36C8B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042B3CC">
            <w:pPr>
              <w:jc w:val="left"/>
            </w:pPr>
            <w:r>
              <w:rPr>
                <w:b/>
                <w:bCs/>
              </w:rPr>
              <w:t>agg_vendor_return_rate</w:t>
            </w:r>
          </w:p>
        </w:tc>
        <w:tc>
          <w:p w14:paraId="3ACF7AB8">
            <w:pPr>
              <w:jc w:val="left"/>
            </w:pPr>
            <w:r>
              <w:rPr>
                <w:b/>
                <w:bCs/>
              </w:rPr>
              <w:t>Vendor</w:t>
            </w:r>
          </w:p>
        </w:tc>
        <w:tc>
          <w:p w14:paraId="5B5DFF1F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vendor_gross_sales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vendor_refunds</w:t>
            </w:r>
            <w:r>
              <w:t xml:space="preserve">, </w:t>
            </w:r>
            <w:r>
              <w:rPr>
                <w:b/>
                <w:bCs/>
              </w:rPr>
              <w:t>`refund_to_sales_ratio`</w:t>
            </w:r>
          </w:p>
        </w:tc>
      </w:tr>
      <w:tr w14:paraId="6658C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C73E5AF">
            <w:pPr>
              <w:jc w:val="left"/>
            </w:pPr>
            <w:r>
              <w:rPr>
                <w:b/>
                <w:bCs/>
              </w:rPr>
              <w:t>agg_product_region_monthly</w:t>
            </w:r>
          </w:p>
        </w:tc>
        <w:tc>
          <w:p w14:paraId="22CD41C0">
            <w:pPr>
              <w:jc w:val="left"/>
            </w:pPr>
            <w:r>
              <w:rPr>
                <w:b/>
                <w:bCs/>
              </w:rPr>
              <w:t>Product × region × month</w:t>
            </w:r>
          </w:p>
        </w:tc>
        <w:tc>
          <w:p w14:paraId="662D42F6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total_sales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total_quantity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total_profit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order_count</w:t>
            </w:r>
          </w:p>
        </w:tc>
      </w:tr>
    </w:tbl>
    <w:p w14:paraId="0B8993FF">
      <w:pPr>
        <w:spacing w:before="240"/>
      </w:pPr>
      <w:r>
        <w:t xml:space="preserve"> </w:t>
      </w:r>
    </w:p>
    <w:p w14:paraId="2A03FD33">
      <w:pPr>
        <w:pStyle w:val="4"/>
        <w:spacing w:after="200"/>
        <w:jc w:val="left"/>
      </w:pPr>
      <w:r>
        <w:t>How they relate</w:t>
      </w:r>
    </w:p>
    <w:p w14:paraId="098CDFB2">
      <w:pPr>
        <w:pStyle w:val="14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>Facts</w:t>
      </w:r>
      <w:r>
        <w:t xml:space="preserve"> connect to </w:t>
      </w:r>
      <w:r>
        <w:rPr>
          <w:b/>
          <w:bCs/>
        </w:rPr>
        <w:t>dimensions</w:t>
      </w:r>
      <w:r>
        <w:t xml:space="preserve"> via </w:t>
      </w:r>
      <w:r>
        <w:rPr>
          <w:b/>
          <w:bCs/>
        </w:rPr>
        <w:t>`customer_id`</w:t>
      </w:r>
      <w:r>
        <w:t xml:space="preserve">, </w:t>
      </w:r>
      <w:r>
        <w:rPr>
          <w:b/>
          <w:bCs/>
        </w:rPr>
        <w:t>`product_id`</w:t>
      </w:r>
      <w:r>
        <w:t xml:space="preserve">, </w:t>
      </w:r>
      <w:r>
        <w:rPr>
          <w:b/>
          <w:bCs/>
        </w:rPr>
        <w:t>`vendor_id`</w:t>
      </w:r>
      <w:r>
        <w:t xml:space="preserve">, </w:t>
      </w:r>
      <w:r>
        <w:rPr>
          <w:b/>
          <w:bCs/>
        </w:rPr>
        <w:t>`region_key`</w:t>
      </w:r>
      <w:r>
        <w:t xml:space="preserve">, </w:t>
      </w:r>
      <w:r>
        <w:rPr>
          <w:b/>
          <w:bCs/>
        </w:rPr>
        <w:t>`date_key`</w:t>
      </w:r>
      <w:r>
        <w:t xml:space="preserve"> / </w:t>
      </w:r>
      <w:r>
        <w:rPr>
          <w:b/>
          <w:bCs/>
        </w:rPr>
        <w:t>`year_month`</w:t>
      </w:r>
      <w:r>
        <w:t>.</w:t>
      </w:r>
    </w:p>
    <w:p w14:paraId="66CDCAB2">
      <w:pPr>
        <w:pStyle w:val="14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>agg_</w:t>
      </w:r>
      <w:r>
        <w:t xml:space="preserve">* tables roll up </w:t>
      </w:r>
      <w:r>
        <w:rPr>
          <w:b/>
          <w:bCs/>
        </w:rPr>
        <w:t>fact_sales</w:t>
      </w:r>
      <w:r>
        <w:t xml:space="preserve"> and/or </w:t>
      </w:r>
      <w:r>
        <w:rPr>
          <w:b/>
          <w:bCs/>
        </w:rPr>
        <w:t>fact_return</w:t>
      </w:r>
      <w:r>
        <w:t xml:space="preserve"> (and join </w:t>
      </w:r>
      <w:r>
        <w:rPr>
          <w:b/>
          <w:bCs/>
        </w:rPr>
        <w:t>dim_region</w:t>
      </w:r>
      <w:r>
        <w:t xml:space="preserve"> or </w:t>
      </w:r>
      <w:r>
        <w:rPr>
          <w:b/>
          <w:bCs/>
        </w:rPr>
        <w:t>dim_vendor</w:t>
      </w:r>
      <w:r>
        <w:t xml:space="preserve"> where names are needed).</w:t>
      </w:r>
    </w:p>
    <w:p w14:paraId="23C16C54">
      <w:pPr>
        <w:pStyle w:val="14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>Star schema pattern:</w:t>
      </w:r>
      <w:r>
        <w:t xml:space="preserve"> filter/slice on dimensions and aggregates; drill to </w:t>
      </w:r>
      <w:r>
        <w:rPr>
          <w:b/>
          <w:bCs/>
        </w:rPr>
        <w:t>facts</w:t>
      </w:r>
      <w:r>
        <w:t xml:space="preserve"> for detail.</w:t>
      </w:r>
    </w:p>
    <w:p w14:paraId="44DCA902">
      <w:pPr>
        <w:spacing w:after="200"/>
      </w:pPr>
      <w:r>
        <w:t xml:space="preserve"> </w:t>
      </w:r>
    </w:p>
    <w:p w14:paraId="1B072B9D">
      <w:pPr>
        <w:pStyle w:val="3"/>
        <w:spacing w:after="200"/>
        <w:jc w:val="left"/>
      </w:pPr>
      <w:r>
        <w:t>5. Generative AI integration</w:t>
      </w:r>
    </w:p>
    <w:p w14:paraId="2BE9B7A7">
      <w:pPr>
        <w:spacing w:after="120"/>
        <w:jc w:val="left"/>
      </w:pPr>
      <w:r>
        <w:rPr>
          <w:b/>
          <w:bCs/>
        </w:rPr>
        <w:t>Position:</w:t>
      </w:r>
      <w:r>
        <w:t xml:space="preserve"> Sits </w:t>
      </w:r>
      <w:r>
        <w:rPr>
          <w:b/>
          <w:bCs/>
        </w:rPr>
        <w:t>above Gold</w:t>
      </w:r>
      <w:r>
        <w:t xml:space="preserve"> (and selectively </w:t>
      </w:r>
      <w:r>
        <w:rPr>
          <w:b/>
          <w:bCs/>
        </w:rPr>
        <w:t>Silver quarantine</w:t>
      </w:r>
      <w:r>
        <w:t xml:space="preserve"> for DQ detail), </w:t>
      </w:r>
      <w:r>
        <w:rPr>
          <w:b/>
          <w:bCs/>
        </w:rPr>
        <w:t>writes back</w:t>
      </w:r>
      <w:r>
        <w:t xml:space="preserve"> to </w:t>
      </w:r>
      <w:r>
        <w:rPr>
          <w:b/>
          <w:bCs/>
        </w:rPr>
        <w:t>Gold Delta tables</w:t>
      </w:r>
      <w:r>
        <w:t xml:space="preserve"> or logs; does </w:t>
      </w:r>
      <w:r>
        <w:rPr>
          <w:b/>
          <w:bCs/>
        </w:rPr>
        <w:t>not</w:t>
      </w:r>
      <w:r>
        <w:t xml:space="preserve"> train on raw Bronze.</w:t>
      </w:r>
    </w:p>
    <w:p w14:paraId="01B09D34">
      <w:pPr>
        <w:spacing w:after="200"/>
      </w:pPr>
      <w:r>
        <w:t xml:space="preserve"> 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4"/>
        <w:gridCol w:w="1805"/>
        <w:gridCol w:w="3069"/>
        <w:gridCol w:w="2889"/>
      </w:tblGrid>
      <w:tr w14:paraId="35980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2CB32C35">
            <w:pPr>
              <w:jc w:val="left"/>
            </w:pPr>
            <w:r>
              <w:rPr>
                <w:b/>
                <w:bCs/>
              </w:rPr>
              <w:t>Use case</w:t>
            </w:r>
          </w:p>
        </w:tc>
        <w:tc>
          <w:p w14:paraId="6C39B229">
            <w:pPr>
              <w:jc w:val="left"/>
            </w:pPr>
            <w:r>
              <w:rPr>
                <w:b/>
                <w:bCs/>
              </w:rPr>
              <w:t>Notebook</w:t>
            </w:r>
          </w:p>
        </w:tc>
        <w:tc>
          <w:p w14:paraId="7CAF1F9C">
            <w:pPr>
              <w:jc w:val="left"/>
            </w:pPr>
            <w:r>
              <w:rPr>
                <w:b/>
                <w:bCs/>
              </w:rPr>
              <w:t>Inputs (what goes in)</w:t>
            </w:r>
          </w:p>
        </w:tc>
        <w:tc>
          <w:p w14:paraId="39FDC43F">
            <w:pPr>
              <w:jc w:val="left"/>
            </w:pPr>
            <w:r>
              <w:rPr>
                <w:b/>
                <w:bCs/>
              </w:rPr>
              <w:t>Outputs (what comes out)</w:t>
            </w:r>
          </w:p>
        </w:tc>
      </w:tr>
      <w:tr w14:paraId="37ADE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ECD89AF">
            <w:pPr>
              <w:jc w:val="left"/>
            </w:pPr>
            <w:r>
              <w:rPr>
                <w:b/>
                <w:bCs/>
              </w:rPr>
              <w:t>UC1 — AI Data Quality Reporter</w:t>
            </w:r>
          </w:p>
        </w:tc>
        <w:tc>
          <w:p w14:paraId="4B45C2AE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UC1 Designing the AI Data Quality Reporter.ipynb</w:t>
            </w:r>
          </w:p>
        </w:tc>
        <w:tc>
          <w:p w14:paraId="3D4E5D9F">
            <w:pPr>
              <w:jc w:val="left"/>
            </w:pPr>
            <w:r>
              <w:rPr>
                <w:b/>
                <w:bCs/>
              </w:rPr>
              <w:t>`globalmart.silver.quarantine_*`</w:t>
            </w:r>
            <w:r>
              <w:t xml:space="preserve"> (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failure_reasons</w:t>
            </w:r>
            <w:r>
              <w:t xml:space="preserve"> exploded by issue), mapping </w:t>
            </w:r>
            <w:r>
              <w:rPr>
                <w:b/>
                <w:bCs/>
              </w:rPr>
              <w:t>issue_type → field</w:t>
            </w:r>
            <w:r>
              <w:t xml:space="preserve">; optional alignment with </w:t>
            </w:r>
            <w:r>
              <w:rPr>
                <w:b/>
                <w:bCs/>
              </w:rPr>
              <w:t>`quality_run_summary`</w:t>
            </w:r>
          </w:p>
        </w:tc>
        <w:tc>
          <w:p w14:paraId="11191983">
            <w:pPr>
              <w:jc w:val="left"/>
            </w:pPr>
            <w:r>
              <w:rPr>
                <w:b/>
                <w:bCs/>
              </w:rPr>
              <w:t>`globalmart.gold.dq_audit_report`</w:t>
            </w:r>
            <w:r>
              <w:t xml:space="preserve"> — per-entity, per-issue </w:t>
            </w:r>
            <w:r>
              <w:rPr>
                <w:b/>
                <w:bCs/>
              </w:rPr>
              <w:t>plain-English audit narratives</w:t>
            </w:r>
            <w:r>
              <w:t xml:space="preserve"> + counts</w:t>
            </w:r>
          </w:p>
        </w:tc>
      </w:tr>
      <w:tr w14:paraId="694B8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8BC5B26">
            <w:pPr>
              <w:jc w:val="left"/>
            </w:pPr>
            <w:r>
              <w:rPr>
                <w:b/>
                <w:bCs/>
              </w:rPr>
              <w:t>UC2 — Returns fraud / risk</w:t>
            </w:r>
          </w:p>
        </w:tc>
        <w:tc>
          <w:p w14:paraId="648E0F73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UC2 Engineering the Returns Fraud Investigator.ipynb</w:t>
            </w:r>
          </w:p>
        </w:tc>
        <w:tc>
          <w:p w14:paraId="3EF5235C">
            <w:pPr>
              <w:jc w:val="left"/>
            </w:pPr>
            <w:r>
              <w:rPr>
                <w:b/>
                <w:bCs/>
              </w:rPr>
              <w:t>`fact_return`</w:t>
            </w:r>
            <w:r>
              <w:t xml:space="preserve">, </w:t>
            </w:r>
            <w:r>
              <w:rPr>
                <w:b/>
                <w:bCs/>
              </w:rPr>
              <w:t>`dim_customer`</w:t>
            </w:r>
            <w:r>
              <w:t xml:space="preserve">, </w:t>
            </w:r>
            <w:r>
              <w:rPr>
                <w:b/>
                <w:bCs/>
              </w:rPr>
              <w:t>`fact_sales`</w:t>
            </w:r>
            <w:r>
              <w:t xml:space="preserve"> — rule-based </w:t>
            </w:r>
            <w:r>
              <w:rPr>
                <w:b/>
                <w:bCs/>
              </w:rPr>
              <w:t>anomaly_score</w:t>
            </w:r>
            <w:r>
              <w:t>, thresholds</w:t>
            </w:r>
          </w:p>
        </w:tc>
        <w:tc>
          <w:p w14:paraId="6058831F">
            <w:pPr>
              <w:jc w:val="left"/>
            </w:pPr>
            <w:r>
              <w:rPr>
                <w:b/>
                <w:bCs/>
              </w:rPr>
              <w:t>`globalmart.gold.flagged_return_customers`</w:t>
            </w:r>
            <w:r>
              <w:t xml:space="preserve"> — risk scores, </w:t>
            </w:r>
            <w:r>
              <w:rPr>
                <w:b/>
                <w:bCs/>
              </w:rPr>
              <w:t>rules violated</w:t>
            </w:r>
            <w:r>
              <w:t xml:space="preserve">, </w:t>
            </w:r>
            <w:r>
              <w:rPr>
                <w:b/>
                <w:bCs/>
              </w:rPr>
              <w:t>AI investigation brief</w:t>
            </w:r>
          </w:p>
        </w:tc>
      </w:tr>
      <w:tr w14:paraId="156D4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D37BE04">
            <w:pPr>
              <w:jc w:val="left"/>
            </w:pPr>
            <w:r>
              <w:rPr>
                <w:b/>
                <w:bCs/>
              </w:rPr>
              <w:t>UC3 — Product / vendor Q&amp;A (RAG)</w:t>
            </w:r>
          </w:p>
        </w:tc>
        <w:tc>
          <w:p w14:paraId="31E098C6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UC3 Building the Product Intelligence Assistant.ipynb</w:t>
            </w:r>
          </w:p>
        </w:tc>
        <w:tc>
          <w:p w14:paraId="39D0FD1B">
            <w:pPr>
              <w:jc w:val="left"/>
            </w:pPr>
            <w:r>
              <w:rPr>
                <w:b/>
                <w:bCs/>
              </w:rPr>
              <w:t>`dim_product`</w:t>
            </w:r>
            <w:r>
              <w:t xml:space="preserve">, </w:t>
            </w:r>
            <w:r>
              <w:rPr>
                <w:b/>
                <w:bCs/>
              </w:rPr>
              <w:t>`dim_vendor`</w:t>
            </w:r>
            <w:r>
              <w:t xml:space="preserve">, </w:t>
            </w:r>
            <w:r>
              <w:rPr>
                <w:b/>
                <w:bCs/>
              </w:rPr>
              <w:t>`agg_product_region_monthly`</w:t>
            </w:r>
            <w:r>
              <w:t xml:space="preserve">, </w:t>
            </w:r>
            <w:r>
              <w:rPr>
                <w:b/>
                <w:bCs/>
              </w:rPr>
              <w:t>`agg_vendor_return_rate`</w:t>
            </w:r>
            <w:r>
              <w:t xml:space="preserve"> (enriched </w:t>
            </w:r>
            <w:r>
              <w:rPr>
                <w:b/>
                <w:bCs/>
              </w:rPr>
              <w:t>documents</w:t>
            </w:r>
            <w:r>
              <w:t>)</w:t>
            </w:r>
          </w:p>
        </w:tc>
        <w:tc>
          <w:p w14:paraId="6390CD2D">
            <w:pPr>
              <w:jc w:val="left"/>
            </w:pPr>
            <w:r>
              <w:rPr>
                <w:b/>
                <w:bCs/>
              </w:rPr>
              <w:t>`globalmart.gold.rag_query_history`</w:t>
            </w:r>
            <w:r>
              <w:t xml:space="preserve"> — question, </w:t>
            </w:r>
            <w:r>
              <w:rPr>
                <w:b/>
                <w:bCs/>
              </w:rPr>
              <w:t>grounded answer</w:t>
            </w:r>
            <w:r>
              <w:t>, retrieved doc metadata</w:t>
            </w:r>
          </w:p>
        </w:tc>
      </w:tr>
      <w:tr w14:paraId="75F35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60053CE">
            <w:pPr>
              <w:jc w:val="left"/>
            </w:pPr>
            <w:r>
              <w:rPr>
                <w:b/>
                <w:bCs/>
              </w:rPr>
              <w:t>UC4 — Executive BI</w:t>
            </w:r>
          </w:p>
        </w:tc>
        <w:tc>
          <w:p w14:paraId="226AF9DC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UC4 Synthesizing Executive Business Intelligence.ipynb</w:t>
            </w:r>
          </w:p>
        </w:tc>
        <w:tc>
          <w:p w14:paraId="74E6B3A8">
            <w:pPr>
              <w:jc w:val="left"/>
            </w:pPr>
            <w:r>
              <w:rPr>
                <w:b/>
                <w:bCs/>
              </w:rPr>
              <w:t>KPI JSON</w:t>
            </w:r>
            <w:r>
              <w:t xml:space="preserve"> from </w:t>
            </w:r>
            <w:r>
              <w:rPr>
                <w:b/>
                <w:bCs/>
              </w:rPr>
              <w:t>`agg_monthly_revenue_by_region`</w:t>
            </w:r>
            <w:r>
              <w:t xml:space="preserve">, </w:t>
            </w:r>
            <w:r>
              <w:rPr>
                <w:b/>
                <w:bCs/>
              </w:rPr>
              <w:t>`agg_vendor_return_rate`</w:t>
            </w:r>
            <w:r>
              <w:t xml:space="preserve">, </w:t>
            </w:r>
            <w:r>
              <w:rPr>
                <w:b/>
                <w:bCs/>
              </w:rPr>
              <w:t>`agg_product_region_monthly`</w:t>
            </w:r>
            <w:r>
              <w:t xml:space="preserve"> (no raw-row prompts)</w:t>
            </w:r>
          </w:p>
        </w:tc>
        <w:tc>
          <w:p w14:paraId="2BC0CFF7">
            <w:pPr>
              <w:jc w:val="left"/>
            </w:pPr>
            <w:r>
              <w:rPr>
                <w:b/>
                <w:bCs/>
              </w:rPr>
              <w:t>`globalmart.gold.ai_business_insights`</w:t>
            </w:r>
            <w:r>
              <w:t xml:space="preserve"> — </w:t>
            </w:r>
            <w:r>
              <w:rPr>
                <w:b/>
                <w:bCs/>
              </w:rPr>
              <w:t>insight_type</w:t>
            </w:r>
            <w:r>
              <w:t xml:space="preserve">, </w:t>
            </w:r>
            <w:r>
              <w:rPr>
                <w:b/>
                <w:bCs/>
              </w:rPr>
              <w:t>executive_summary</w:t>
            </w:r>
            <w:r>
              <w:t xml:space="preserve">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kpi_payload_json</w:t>
            </w:r>
            <w:r>
              <w:t xml:space="preserve">; plus </w:t>
            </w:r>
            <w:r>
              <w:rPr>
                <w:b/>
                <w:bCs/>
              </w:rPr>
              <w:t>`ai_query()`</w:t>
            </w:r>
            <w:r>
              <w:t xml:space="preserve"> demos in SQL</w:t>
            </w:r>
          </w:p>
        </w:tc>
      </w:tr>
    </w:tbl>
    <w:p w14:paraId="21E7DC8C">
      <w:pPr>
        <w:spacing w:before="240"/>
      </w:pPr>
      <w:r>
        <w:t xml:space="preserve"> </w:t>
      </w:r>
    </w:p>
    <w:p w14:paraId="7B15FF8B">
      <w:pPr>
        <w:spacing w:after="120"/>
        <w:jc w:val="left"/>
      </w:pPr>
      <w:r>
        <w:rPr>
          <w:b/>
          <w:bCs/>
        </w:rPr>
        <w:t>Model:</w:t>
      </w:r>
      <w:r>
        <w:t xml:space="preserve"> </w:t>
      </w:r>
      <w:r>
        <w:rPr>
          <w:b/>
          <w:bCs/>
        </w:rPr>
        <w:t>`databricks-gpt-oss-20b`</w:t>
      </w:r>
      <w:r>
        <w:t xml:space="preserve"> via Databricks </w:t>
      </w:r>
      <w:r>
        <w:rPr>
          <w:b/>
          <w:bCs/>
        </w:rPr>
        <w:t>serving endpoints</w:t>
      </w:r>
      <w:r>
        <w:t xml:space="preserve"> (OpenAI-compatible API). UC3 adds </w:t>
      </w:r>
      <w:r>
        <w:rPr>
          <w:b/>
          <w:bCs/>
        </w:rPr>
        <w:t>sentence-transformers</w:t>
      </w:r>
      <w:r>
        <w:t xml:space="preserve"> + </w:t>
      </w:r>
      <w:r>
        <w:rPr>
          <w:b/>
          <w:bCs/>
        </w:rPr>
        <w:t>FAISS</w:t>
      </w:r>
      <w:r>
        <w:t xml:space="preserve"> for retrieval.</w:t>
      </w:r>
    </w:p>
    <w:p w14:paraId="44243923">
      <w:pPr>
        <w:spacing w:after="200"/>
      </w:pPr>
      <w:r>
        <w:t xml:space="preserve"> 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suff w:val="space"/>
      <w:lvlText w:val="●"/>
      <w:lvlJc w:val="left"/>
      <w:pPr>
        <w:ind w:left="24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>
    <w:nsid w:val="505ABFC2"/>
    <w:multiLevelType w:val="singleLevel"/>
    <w:tmpl w:val="505ABFC2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EDD4F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b/>
      <w:bCs/>
      <w:color w:val="000000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  <w:jc w:val="left"/>
    </w:pPr>
    <w:rPr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pPr>
      <w:jc w:val="left"/>
    </w:pPr>
    <w:rPr>
      <w:sz w:val="56"/>
      <w:szCs w:val="56"/>
    </w:rPr>
  </w:style>
  <w:style w:type="paragraph" w:styleId="14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2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2026-03-27T13:22:00Z</dcterms:created>
  <dc:creator>Un-named</dc:creator>
  <cp:lastModifiedBy>Harsh Parmar</cp:lastModifiedBy>
  <dcterms:modified xsi:type="dcterms:W3CDTF">2026-03-27T13:25:13Z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BCD407FEBB9F456385D52932D30B5B57_12</vt:lpwstr>
  </property>
</Properties>
</file>