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CHEM&amp;131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i/>
          <w:iCs/>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CHEM&amp;131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Module 0 Getting Started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gets an F on that assignment.</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 will get an F.</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7"/>
        </w:numPr>
      </w:pPr>
      <w:r>
        <w:rPr>
          <w:b/>
          <w:bCs/>
        </w:rPr>
        <w:t xml:space="preserve">CLO1:</w:t>
      </w:r>
      <w:r>
        <w:t xml:space="preserve"> </w:t>
      </w:r>
      <w:r>
        <w:t xml:space="preserve">Applies the fundamental rules behind functional group reactivity and metabolic processes, including molecule acidity and isomerism, with context to physiology and pharmacology.</w:t>
      </w:r>
    </w:p>
    <w:p>
      <w:pPr>
        <w:pStyle w:val="Compact"/>
        <w:numPr>
          <w:ilvl w:val="0"/>
          <w:numId w:val="1007"/>
        </w:numPr>
      </w:pPr>
      <w:r>
        <w:rPr>
          <w:b/>
          <w:bCs/>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pStyle w:val="Compact"/>
        <w:numPr>
          <w:ilvl w:val="0"/>
          <w:numId w:val="1007"/>
        </w:numPr>
      </w:pPr>
      <w:r>
        <w:rPr>
          <w:b/>
          <w:bCs/>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4, 6, 8, and 10 — Week 10 carries both Quiz 4 and Quiz 5)</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t xml:space="preserve">You must earn at least 65% in every one of the six grading categories above to pass this course — not just an overall passing average. 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8"/>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8"/>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8"/>
        </w:numPr>
      </w:pPr>
      <w:r>
        <w:t xml:space="preserve">If you miss two experiments, the second missed lab is scored zero.</w:t>
      </w:r>
    </w:p>
    <w:p>
      <w:pPr>
        <w:pStyle w:val="Compact"/>
        <w:numPr>
          <w:ilvl w:val="0"/>
          <w:numId w:val="1008"/>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9"/>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9"/>
        </w:numPr>
      </w:pPr>
      <w:r>
        <w:t xml:space="preserve">In-person lab attendance and the Final TYC Project have no grace period.</w:t>
      </w:r>
    </w:p>
    <w:p>
      <w:pPr>
        <w:pStyle w:val="Compact"/>
        <w:numPr>
          <w:ilvl w:val="0"/>
          <w:numId w:val="1009"/>
        </w:numPr>
      </w:pPr>
      <w:r>
        <w:t xml:space="preserve">No due dates extend beyond the course end date.</w:t>
      </w:r>
    </w:p>
    <w:p>
      <w:pPr>
        <w:pStyle w:val="Compact"/>
        <w:numPr>
          <w:ilvl w:val="0"/>
          <w:numId w:val="1009"/>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0"/>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0"/>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0"/>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0"/>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2026-09-19T00:51:03Z</dcterms:created>
  <dcterms:modified xsi:type="dcterms:W3CDTF">2026-09-19T00:51:03Z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