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w:t>
      </w:r>
      <w:r>
        <w:t xml:space="preserve"> </w:t>
      </w:r>
      <w:r>
        <w:t xml:space="preserve">Intro</w:t>
      </w:r>
      <w:r>
        <w:t xml:space="preserve"> </w:t>
      </w:r>
      <w:r>
        <w:t xml:space="preserve">to</w:t>
      </w:r>
      <w:r>
        <w:t xml:space="preserve"> </w:t>
      </w:r>
      <w:r>
        <w:t xml:space="preserve">Organic/Biochemistry</w:t>
      </w:r>
    </w:p>
    <w:bookmarkStart w:id="20"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($19.50)</w:t>
            </w:r>
            <w:r>
              <w:t xml:space="preserve"> </w:t>
            </w:r>
            <w:r>
              <w:t xml:space="preserve">+</w:t>
            </w:r>
            <w:r>
              <w:t xml:space="preserve"> </w:t>
            </w:r>
            <w:r>
              <w:rPr>
                <w:bCs/>
                <w:b/>
              </w:rPr>
              <w:t xml:space="preserve">CHEM&amp;131 Lab Manual</w:t>
            </w:r>
            <w:r>
              <w:t xml:space="preserve"> </w:t>
            </w:r>
            <w:r>
              <w:rPr>
                <w:iCs/>
                <w:i/>
              </w:rPr>
              <w:t xml:space="preserve">(~$16.70)</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Wednesday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No AI-generated content in anything you submit — ever, no exceptions. See the AI Agreement below for the full policy.</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3-2-1 Team Posts 15% · OOL Discussions 15% · Lab Experiments 25% · Quizzes 20% · ALEKS Problem Sets 15% · Final TYC Project 10%.</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Getting Started: Course Orientation,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6"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CHEM&amp;131: Introduction to Organic and Biochemistry</w:t>
            </w:r>
          </w:p>
        </w:tc>
      </w:tr>
      <w:tr>
        <w:tc>
          <w:tcPr/>
          <w:p>
            <w:pPr>
              <w:pStyle w:val="Compact"/>
              <w:jc w:val="left"/>
            </w:pPr>
            <w:r>
              <w:rPr>
                <w:bCs/>
                <w:b/>
              </w:rPr>
              <w:t xml:space="preserve">Course Nbr/Sec</w:t>
            </w:r>
          </w:p>
        </w:tc>
        <w:tc>
          <w:tcPr/>
          <w:p>
            <w:pPr>
              <w:pStyle w:val="Compact"/>
              <w:jc w:val="left"/>
            </w:pPr>
            <w:r>
              <w:t xml:space="preserve">18411/18412</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209, Tu/Th 2:00–3:50 PM (18411).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twice-weekly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CHEM&amp;121 (grade of</w:t>
            </w:r>
            <w:r>
              <w:t xml:space="preserve"> </w:t>
            </w:r>
            <w:r>
              <w:t xml:space="preserve">“</w:t>
            </w:r>
            <w:r>
              <w:t xml:space="preserve">C</w:t>
            </w:r>
            <w:r>
              <w:t xml:space="preserve">”</w:t>
            </w:r>
            <w:r>
              <w:t xml:space="preserve"> </w:t>
            </w:r>
            <w:r>
              <w:t xml:space="preserve">or higher).</w:t>
            </w:r>
          </w:p>
        </w:tc>
      </w:tr>
      <w:tr>
        <w:tc>
          <w:tcPr/>
          <w:p>
            <w:pPr>
              <w:pStyle w:val="Compact"/>
              <w:jc w:val="left"/>
            </w:pPr>
            <w:r>
              <w:rPr>
                <w:bCs/>
                <w:b/>
              </w:rPr>
              <w:t xml:space="preserve">Course Description</w:t>
            </w:r>
          </w:p>
        </w:tc>
        <w:tc>
          <w:tcPr/>
          <w:p>
            <w:pPr>
              <w:pStyle w:val="Compact"/>
              <w:jc w:val="left"/>
            </w:pPr>
            <w:r>
              <w:rPr>
                <w:bCs/>
                <w:b/>
              </w:rPr>
              <w:t xml:space="preserve">What</w:t>
            </w:r>
            <w:r>
              <w:rPr>
                <w:bCs/>
                <w:b/>
              </w:rPr>
              <w:t xml:space="preserve"> </w:t>
            </w:r>
            <w:hyperlink r:id="rId25">
              <w:r>
                <w:rPr>
                  <w:rStyle w:val="Hyperlink"/>
                  <w:bCs/>
                  <w:b/>
                </w:rPr>
                <w:t xml:space="preserve">Clark’s Course Catalog</w:t>
              </w:r>
            </w:hyperlink>
            <w:r>
              <w:rPr>
                <w:bCs/>
                <w:b/>
              </w:rPr>
              <w:t xml:space="preserve"> </w:t>
            </w:r>
            <w:r>
              <w:rPr>
                <w:bCs/>
                <w:b/>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Cs/>
                <w:b/>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26"/>
    <w:bookmarkStart w:id="32" w:name="welcome-to-class"/>
    <w:p>
      <w:pPr>
        <w:pStyle w:val="Heading1"/>
      </w:pPr>
      <w:r>
        <w:t xml:space="preserve">Welcome to Class!</w:t>
      </w:r>
    </w:p>
    <w:p>
      <w:pPr>
        <w:pStyle w:val="FirstParagraph"/>
      </w:pPr>
      <w:r>
        <w:rPr>
          <w:iCs/>
          <w:i/>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Cs/>
          <w:b/>
        </w:rPr>
        <w:t xml:space="preserve">Dr. B’s Note:</w:t>
      </w:r>
      <w:r>
        <w:t xml:space="preserve"> </w:t>
      </w:r>
      <w:r>
        <w:rPr>
          <w:iCs/>
          <w:i/>
        </w:rPr>
        <w:t xml:space="preserve">Most students who stick with the weekly rhythm and stay engaged do well. The difference this term specifically is showing up consistently every day. This is level two CHEM – it will ask more from you than last time.</w:t>
      </w:r>
    </w:p>
    <w:bookmarkStart w:id="27"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27"/>
    <w:bookmarkStart w:id="28"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8"/>
    <w:bookmarkStart w:id="30"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9">
        <w:r>
          <w:rPr>
            <w:rStyle w:val="Hyperlink"/>
          </w:rPr>
          <w:t xml:space="preserve">viewing the steps for requesting accommodations</w:t>
        </w:r>
      </w:hyperlink>
      <w:r>
        <w:t xml:space="preserve">.</w:t>
      </w:r>
    </w:p>
    <w:bookmarkEnd w:id="30"/>
    <w:bookmarkStart w:id="31" w:name="weekly-flow"/>
    <w:p>
      <w:pPr>
        <w:pStyle w:val="Heading2"/>
      </w:pPr>
      <w:r>
        <w:t xml:space="preserve">Weekly Flow</w:t>
      </w:r>
    </w:p>
    <w:p>
      <w:pPr>
        <w:pStyle w:val="FirstParagraph"/>
      </w:pPr>
      <w:r>
        <w:rPr>
          <w:iCs/>
          <w:i/>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Wednesday</w:t>
            </w:r>
          </w:p>
        </w:tc>
        <w:tc>
          <w:tcPr/>
          <w:p>
            <w:pPr>
              <w:pStyle w:val="Compact"/>
              <w:jc w:val="left"/>
            </w:pPr>
            <w:r>
              <w:t xml:space="preserve">3-2-1 Team post + upload due; OOL discussion post due; Lab Results (20 pts) due</w:t>
            </w:r>
          </w:p>
        </w:tc>
      </w:tr>
      <w:tr>
        <w:tc>
          <w:tcPr/>
          <w:p>
            <w:pPr>
              <w:pStyle w:val="Compact"/>
              <w:jc w:val="left"/>
            </w:pPr>
            <w:r>
              <w:t xml:space="preserve">Thursday</w:t>
            </w:r>
          </w:p>
        </w:tc>
        <w:tc>
          <w:tcPr/>
          <w:p>
            <w:pPr>
              <w:pStyle w:val="Compact"/>
              <w:jc w:val="left"/>
            </w:pPr>
            <w:r>
              <w:t xml:space="preserve">3-2-1 Team Lead Summary post due (Team Lead only, that week)</w:t>
            </w:r>
          </w:p>
        </w:tc>
      </w:tr>
      <w:tr>
        <w:tc>
          <w:tcPr/>
          <w:p>
            <w:pPr>
              <w:pStyle w:val="Compact"/>
              <w:jc w:val="left"/>
            </w:pPr>
            <w:r>
              <w:t xml:space="preserve">Friday</w:t>
            </w:r>
          </w:p>
        </w:tc>
        <w:tc>
          <w:tcPr/>
          <w:p>
            <w:pPr>
              <w:pStyle w:val="Compact"/>
              <w:jc w:val="left"/>
            </w:pPr>
            <w:r>
              <w:t xml:space="preserve">OOL replies due; Lab Findings (10 pts) and Conclusions (20 pts) due</w:t>
            </w:r>
          </w:p>
        </w:tc>
      </w:tr>
      <w:tr>
        <w:tc>
          <w:tcPr/>
          <w:p>
            <w:pPr>
              <w:pStyle w:val="Compact"/>
              <w:jc w:val="left"/>
            </w:pPr>
            <w:r>
              <w:t xml:space="preserve">Sunday</w:t>
            </w:r>
          </w:p>
        </w:tc>
        <w:tc>
          <w:tcPr/>
          <w:p>
            <w:pPr>
              <w:pStyle w:val="Compact"/>
              <w:jc w:val="lef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1"/>
    <w:bookmarkEnd w:id="32"/>
    <w:bookmarkStart w:id="34" w:name="about-your-instructor"/>
    <w:p>
      <w:pPr>
        <w:pStyle w:val="Heading1"/>
      </w:pPr>
      <w:r>
        <w:t xml:space="preserve">About Your Instructor</w:t>
      </w:r>
    </w:p>
    <w:p>
      <w:pPr>
        <w:pStyle w:val="FirstParagraph"/>
      </w:pPr>
      <w:r>
        <w:rPr>
          <w:iCs/>
          <w:i/>
        </w:rPr>
        <w:t xml:space="preserve">TL;DR: 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Help Hours</w:t>
            </w:r>
          </w:p>
        </w:tc>
        <w:tc>
          <w:tcPr/>
          <w:p>
            <w:pPr>
              <w:pStyle w:val="Compact"/>
              <w:jc w:val="left"/>
            </w:pPr>
            <w:r>
              <w:t xml:space="preserve">Tuesday &amp; Thursday, 12:00–2:00 PM (2 hours before the 2:00 PM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3"/>
    <w:bookmarkEnd w:id="34"/>
    <w:bookmarkStart w:id="37" w:name="what-course-materials-will-i-need"/>
    <w:p>
      <w:pPr>
        <w:pStyle w:val="Heading1"/>
      </w:pPr>
      <w:r>
        <w:t xml:space="preserve">What Course Materials Will I Need?</w:t>
      </w:r>
    </w:p>
    <w:p>
      <w:pPr>
        <w:pStyle w:val="FirstParagraph"/>
      </w:pPr>
      <w:r>
        <w:rPr>
          <w:iCs/>
          <w:i/>
        </w:rPr>
        <w:t xml:space="preserve">TL;DR: 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($19.50, edition/ISBN TBD)</w:t>
            </w:r>
            <w:r>
              <w:rPr>
                <w:bCs/>
                <w:b/>
              </w:rPr>
              <w:t xml:space="preserve">CHEM&amp;131 Lab Manual</w:t>
            </w:r>
            <w:r>
              <w:t xml:space="preserve"> </w:t>
            </w:r>
            <w:r>
              <w:t xml:space="preserve">(lab manual) — required.</w:t>
            </w:r>
            <w:r>
              <w:t xml:space="preserve"> </w:t>
            </w:r>
            <w:r>
              <w:rPr>
                <w:iCs/>
                <w:i/>
              </w:rPr>
              <w:t xml:space="preserve">(~$16.70, edition/ISBN TBD)</w:t>
            </w:r>
            <w:r>
              <w:rPr>
                <w:bCs/>
                <w:b/>
              </w:rPr>
              <w:t xml:space="preserve">Composition Notebook</w:t>
            </w:r>
            <w:r>
              <w:t xml:space="preserve">, college ruled, 7.5 x 10 in — required.</w:t>
            </w:r>
            <w:r>
              <w:rPr>
                <w:bCs/>
                <w:b/>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jc w:val="left"/>
            </w:pPr>
            <w:r>
              <w:rPr>
                <w:bCs/>
                <w:b/>
              </w:rPr>
              <w:t xml:space="preserve">Privacy &amp; accessibility for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6">
              <w:r>
                <w:rPr>
                  <w:rStyle w:val="Hyperlink"/>
                </w:rPr>
                <w:t xml:space="preserve">Clark College Bookstore</w:t>
              </w:r>
            </w:hyperlink>
            <w:r>
              <w:t xml:space="preserve">.</w:t>
            </w:r>
            <w:r>
              <w:t xml:space="preserve">ALEKS: access is set up automatically in Canvas once your registration is processed.</w:t>
            </w:r>
          </w:p>
        </w:tc>
      </w:tr>
    </w:tbl>
    <w:bookmarkEnd w:id="37"/>
    <w:bookmarkStart w:id="43" w:name="what-are-the-course-agreements"/>
    <w:p>
      <w:pPr>
        <w:pStyle w:val="Heading1"/>
      </w:pPr>
      <w:r>
        <w:t xml:space="preserve">What Are the Course Agreements?</w:t>
      </w:r>
    </w:p>
    <w:p>
      <w:pPr>
        <w:pStyle w:val="FirstParagraph"/>
      </w:pPr>
      <w:r>
        <w:rPr>
          <w:iCs/>
          <w:i/>
        </w:rPr>
        <w:t xml:space="preserve">TL;DR: Message me in Canvas Inbox, cite anything that isn’t yours, never use AI to create anything you submit, and show up ready to work.</w:t>
      </w:r>
    </w:p>
    <w:bookmarkStart w:id="3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8"/>
    <w:bookmarkStart w:id="4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3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40"/>
    <w:bookmarkStart w:id="41" w:name="X557e592dac108a6d1044d97136f1b079f25201c"/>
    <w:p>
      <w:pPr>
        <w:pStyle w:val="Heading2"/>
      </w:pPr>
      <w:r>
        <w:t xml:space="preserve">AI (Artificial Intelligence) Guidelines — Community AI Agreement</w:t>
      </w:r>
    </w:p>
    <w:p>
      <w:pPr>
        <w:pStyle w:val="FirstParagraph"/>
      </w:pPr>
      <w:r>
        <w:rPr>
          <w:iCs/>
          <w:i/>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Cs/>
          <w:b/>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w:t>
      </w:r>
      <w:r>
        <w:t xml:space="preserve">brainstormed</w:t>
      </w:r>
      <w:r>
        <w:t xml:space="preserve">”</w:t>
      </w:r>
      <w:r>
        <w:t xml:space="preserve"> </w:t>
      </w:r>
      <w:r>
        <w:t xml:space="preserve">material or ideas — AI cannot brainstorm for you, even if you credit it.</w:t>
      </w:r>
      <w:r>
        <w:t xml:space="preserve"> </w:t>
      </w:r>
      <w:r>
        <w:rPr>
          <w:bCs/>
          <w:b/>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Cs/>
          <w:b/>
        </w:rPr>
        <w:t xml:space="preserve">We need honest folks in healthcare occupations. Here’s how to avoid cheating:</w:t>
      </w:r>
    </w:p>
    <w:p>
      <w:pPr>
        <w:numPr>
          <w:ilvl w:val="0"/>
          <w:numId w:val="1002"/>
        </w:numPr>
        <w:pStyle w:val="Compact"/>
      </w:pPr>
      <w:r>
        <w:rPr>
          <w:bCs/>
          <w:b/>
        </w:rPr>
        <w:t xml:space="preserve">Document ALL your work offline in Microsoft Word in your OneDrive (see Canvas).</w:t>
      </w:r>
    </w:p>
    <w:p>
      <w:pPr>
        <w:numPr>
          <w:ilvl w:val="0"/>
          <w:numId w:val="1002"/>
        </w:numPr>
        <w:pStyle w:val="Compact"/>
      </w:pPr>
      <w:r>
        <w:rPr>
          <w:bCs/>
          <w:b/>
        </w:rPr>
        <w:t xml:space="preserve">Appropriate use of AI for any assignment in this class:</w:t>
      </w:r>
    </w:p>
    <w:p>
      <w:pPr>
        <w:numPr>
          <w:ilvl w:val="1"/>
          <w:numId w:val="1003"/>
        </w:numPr>
        <w:pStyle w:val="Compact"/>
      </w:pPr>
      <w:r>
        <w:t xml:space="preserve">You are free to use spell check, grammar check, and synonym identification tools in applications (e.g., those in Microsoft Word, Google Docs, Pages, or Canvas).</w:t>
      </w:r>
    </w:p>
    <w:p>
      <w:pPr>
        <w:numPr>
          <w:ilvl w:val="1"/>
          <w:numId w:val="1003"/>
        </w:numPr>
        <w:pStyle w:val="Compact"/>
      </w:pPr>
      <w:r>
        <w:t xml:space="preserve">You are free to use in-app recommendations when it comes to spelling and grammar of only sentences you have written entirely yourself first.</w:t>
      </w:r>
    </w:p>
    <w:p>
      <w:pPr>
        <w:numPr>
          <w:ilvl w:val="1"/>
          <w:numId w:val="1003"/>
        </w:numPr>
        <w:pStyle w:val="Compact"/>
      </w:pPr>
      <w:r>
        <w:t xml:space="preserve">You are free to use in-app recommendations when it comes to tweaking outlines you have written entirely yourself first.</w:t>
      </w:r>
    </w:p>
    <w:p>
      <w:pPr>
        <w:numPr>
          <w:ilvl w:val="0"/>
          <w:numId w:val="1002"/>
        </w:numPr>
        <w:pStyle w:val="Compact"/>
      </w:pPr>
      <w:r>
        <w:rPr>
          <w:bCs/>
          <w:b/>
        </w:rPr>
        <w:t xml:space="preserve">Inappropriate use of AI for any assignment in this class:</w:t>
      </w:r>
    </w:p>
    <w:p>
      <w:pPr>
        <w:numPr>
          <w:ilvl w:val="1"/>
          <w:numId w:val="1004"/>
        </w:numPr>
        <w:pStyle w:val="Compact"/>
      </w:pPr>
      <w:r>
        <w:t xml:space="preserve">You cannot have an app write a draft (either rough or final) or brainstorm any assignment.</w:t>
      </w:r>
    </w:p>
    <w:p>
      <w:pPr>
        <w:numPr>
          <w:ilvl w:val="1"/>
          <w:numId w:val="1004"/>
        </w:numPr>
        <w:pStyle w:val="Compact"/>
      </w:pPr>
      <w:r>
        <w:t xml:space="preserve">You cannot use any content generated from prompts given to you in assignments.</w:t>
      </w:r>
    </w:p>
    <w:p>
      <w:pPr>
        <w:numPr>
          <w:ilvl w:val="1"/>
          <w:numId w:val="1004"/>
        </w:numPr>
        <w:pStyle w:val="Compact"/>
      </w:pPr>
      <w:r>
        <w:t xml:space="preserve">You cannot use sentences or paragraphs suggested by an app — not even with quotation marks and a citation.</w:t>
      </w:r>
    </w:p>
    <w:p>
      <w:pPr>
        <w:numPr>
          <w:ilvl w:val="1"/>
          <w:numId w:val="1004"/>
        </w:numPr>
        <w:pStyle w:val="Compact"/>
      </w:pPr>
      <w:r>
        <w:t xml:space="preserve">You cannot have an app reply to your classmates or provide their words to an AI tool.</w:t>
      </w:r>
      <w:r>
        <w:t xml:space="preserve"> </w:t>
      </w:r>
      <w:r>
        <w:rPr>
          <w:bCs/>
          <w:b/>
        </w:rPr>
        <w:t xml:space="preserve">This is a violation of your classmates’ privacy as a student at Clark.</w:t>
      </w:r>
    </w:p>
    <w:p>
      <w:pPr>
        <w:numPr>
          <w:ilvl w:val="1"/>
          <w:numId w:val="1004"/>
        </w:numPr>
        <w:pStyle w:val="Compact"/>
      </w:pPr>
      <w:r>
        <w:t xml:space="preserve">You cannot give any AI tool the learning materials and assignments from this class.</w:t>
      </w:r>
      <w:r>
        <w:t xml:space="preserve"> </w:t>
      </w:r>
      <w:r>
        <w:rPr>
          <w:bCs/>
          <w:b/>
        </w:rPr>
        <w:t xml:space="preserve">This is a violation of my privacy, as these materials were made by us.</w:t>
      </w:r>
    </w:p>
    <w:p>
      <w:pPr>
        <w:numPr>
          <w:ilvl w:val="0"/>
          <w:numId w:val="1002"/>
        </w:numPr>
        <w:pStyle w:val="Compact"/>
      </w:pPr>
      <w:r>
        <w:rPr>
          <w:bCs/>
          <w:b/>
        </w:rPr>
        <w:t xml:space="preserve">Evidence of inappropriate AI use will be grounds for submission of an Academic Dishonesty report to the College, along with course sanctions at my discretion.</w:t>
      </w:r>
    </w:p>
    <w:p>
      <w:pPr>
        <w:pStyle w:val="BlockText"/>
      </w:pPr>
      <w:r>
        <w:rPr>
          <w:bCs/>
          <w:b/>
        </w:rPr>
        <w:t xml:space="preserve">Dr. B’s Note:</w:t>
      </w:r>
      <w:r>
        <w:t xml:space="preserve"> </w:t>
      </w:r>
      <w:r>
        <w:rPr>
          <w:iCs/>
          <w:i/>
        </w:rPr>
        <w:t xml:space="preserve">You’re entering health careers where accuracy and integrity matter. This policy isn’t about distrust — it’s about protecting your own growth as a thinker, which is the actual skill you’re here to build.</w:t>
      </w:r>
    </w:p>
    <w:bookmarkEnd w:id="41"/>
    <w:bookmarkStart w:id="4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numPr>
          <w:ilvl w:val="0"/>
          <w:numId w:val="1005"/>
        </w:numPr>
        <w:pStyle w:val="Compact"/>
      </w:pPr>
      <w:r>
        <w:t xml:space="preserve">Be Kind, Patient, Understanding</w:t>
      </w:r>
    </w:p>
    <w:p>
      <w:pPr>
        <w:numPr>
          <w:ilvl w:val="0"/>
          <w:numId w:val="1005"/>
        </w:numPr>
        <w:pStyle w:val="Compact"/>
      </w:pPr>
      <w:r>
        <w:t xml:space="preserve">Create a brave learning space</w:t>
      </w:r>
    </w:p>
    <w:p>
      <w:pPr>
        <w:numPr>
          <w:ilvl w:val="0"/>
          <w:numId w:val="1005"/>
        </w:numPr>
        <w:pStyle w:val="Compact"/>
      </w:pPr>
      <w:r>
        <w:t xml:space="preserve">Learning can be tough, discomfort is welcome</w:t>
      </w:r>
    </w:p>
    <w:p>
      <w:pPr>
        <w:numPr>
          <w:ilvl w:val="0"/>
          <w:numId w:val="1005"/>
        </w:numPr>
        <w:pStyle w:val="Compact"/>
      </w:pPr>
      <w:r>
        <w:t xml:space="preserve">Practice graceful learning</w:t>
      </w:r>
    </w:p>
    <w:p>
      <w:pPr>
        <w:numPr>
          <w:ilvl w:val="0"/>
          <w:numId w:val="1005"/>
        </w:numPr>
        <w:pStyle w:val="Compact"/>
      </w:pPr>
      <w:r>
        <w:t xml:space="preserve">Respect each other’s perspectives</w:t>
      </w:r>
    </w:p>
    <w:p>
      <w:pPr>
        <w:numPr>
          <w:ilvl w:val="0"/>
          <w:numId w:val="1005"/>
        </w:numPr>
        <w:pStyle w:val="Compact"/>
      </w:pPr>
      <w:r>
        <w:t xml:space="preserve">Make space, take space</w:t>
      </w:r>
    </w:p>
    <w:p>
      <w:pPr>
        <w:numPr>
          <w:ilvl w:val="0"/>
          <w:numId w:val="1005"/>
        </w:numPr>
        <w:pStyle w:val="Compact"/>
      </w:pPr>
      <w:r>
        <w:t xml:space="preserve">Include others in the conversation</w:t>
      </w:r>
    </w:p>
    <w:p>
      <w:pPr>
        <w:numPr>
          <w:ilvl w:val="0"/>
          <w:numId w:val="1005"/>
        </w:numPr>
        <w:pStyle w:val="Compact"/>
      </w:pPr>
      <w:r>
        <w:t xml:space="preserve">Stay present, but take breaks when you need them</w:t>
      </w:r>
    </w:p>
    <w:p>
      <w:pPr>
        <w:numPr>
          <w:ilvl w:val="0"/>
          <w:numId w:val="1005"/>
        </w:numPr>
        <w:pStyle w:val="Compact"/>
      </w:pPr>
      <w:r>
        <w:t xml:space="preserve">Listen to understand, not speak next</w:t>
      </w:r>
    </w:p>
    <w:p>
      <w:pPr>
        <w:numPr>
          <w:ilvl w:val="0"/>
          <w:numId w:val="1005"/>
        </w:numPr>
        <w:pStyle w:val="Compact"/>
      </w:pPr>
      <w:r>
        <w:t xml:space="preserve">Stories told here stay here, knowledge leaves</w:t>
      </w:r>
    </w:p>
    <w:p>
      <w:pPr>
        <w:numPr>
          <w:ilvl w:val="0"/>
          <w:numId w:val="1005"/>
        </w:numPr>
        <w:pStyle w:val="Compact"/>
      </w:pPr>
      <w:r>
        <w:t xml:space="preserve">Accept reasonable boundaries and non-closure</w:t>
      </w:r>
    </w:p>
    <w:p>
      <w:pPr>
        <w:numPr>
          <w:ilvl w:val="0"/>
          <w:numId w:val="1005"/>
        </w:numPr>
        <w:pStyle w:val="Compact"/>
      </w:pPr>
      <w:r>
        <w:t xml:space="preserve">If someone is struggling, offer to help</w:t>
      </w:r>
    </w:p>
    <w:p>
      <w:pPr>
        <w:numPr>
          <w:ilvl w:val="0"/>
          <w:numId w:val="1005"/>
        </w:numPr>
        <w:pStyle w:val="Compact"/>
      </w:pPr>
      <w:r>
        <w:t xml:space="preserve">If you are struggling, seek help</w:t>
      </w:r>
    </w:p>
    <w:p>
      <w:pPr>
        <w:pStyle w:val="FirstParagraph"/>
      </w:pPr>
      <w:r>
        <w:t xml:space="preserve">Alongside that spirit, a few practical expectations:</w:t>
      </w:r>
    </w:p>
    <w:p>
      <w:pPr>
        <w:numPr>
          <w:ilvl w:val="0"/>
          <w:numId w:val="1006"/>
        </w:numPr>
        <w:pStyle w:val="Compact"/>
      </w:pPr>
      <w:r>
        <w:t xml:space="preserve">Complete each week’s assignments — discussions, labs, ALEKS — by the posted due date.</w:t>
      </w:r>
    </w:p>
    <w:p>
      <w:pPr>
        <w:numPr>
          <w:ilvl w:val="0"/>
          <w:numId w:val="1006"/>
        </w:numPr>
        <w:pStyle w:val="Compact"/>
      </w:pPr>
      <w:r>
        <w:t xml:space="preserve">Attend your scheduled labs (both) every week; all lab hours are required to pass the course — see the Lab Requirement section below for exactly what that means.</w:t>
      </w:r>
    </w:p>
    <w:p>
      <w:pPr>
        <w:numPr>
          <w:ilvl w:val="0"/>
          <w:numId w:val="1006"/>
        </w:numPr>
        <w:pStyle w:val="Compact"/>
      </w:pPr>
      <w:r>
        <w:t xml:space="preserve">Be a courteous member of the team and don’t get in the way of anyone else’s learning: post and reply before the due dates, not hours or minutes before.</w:t>
      </w:r>
    </w:p>
    <w:p>
      <w:pPr>
        <w:numPr>
          <w:ilvl w:val="0"/>
          <w:numId w:val="1006"/>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2"/>
    <w:bookmarkEnd w:id="43"/>
    <w:bookmarkStart w:id="44" w:name="X762e0c562ca86535819c7c15adbe8dbe270c6b6"/>
    <w:p>
      <w:pPr>
        <w:pStyle w:val="Heading1"/>
      </w:pPr>
      <w:r>
        <w:t xml:space="preserve">What Are the Learning Goals in This Course?</w:t>
      </w:r>
    </w:p>
    <w:p>
      <w:pPr>
        <w:pStyle w:val="FirstParagraph"/>
      </w:pPr>
      <w:r>
        <w:rPr>
          <w:iCs/>
          <w:i/>
        </w:rPr>
        <w:t xml:space="preserve">TL;DR: By the end, you can apply organic and biochemistry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numPr>
          <w:ilvl w:val="0"/>
          <w:numId w:val="1007"/>
        </w:numPr>
        <w:pStyle w:val="Compact"/>
      </w:pPr>
      <w:r>
        <w:rPr>
          <w:bCs/>
          <w:b/>
        </w:rPr>
        <w:t xml:space="preserve">Critical Thinking 3</w:t>
      </w:r>
      <w:r>
        <w:t xml:space="preserve"> </w:t>
      </w:r>
      <w:r>
        <w:t xml:space="preserve">— Formulate well-reasoned arguments supported by evidence</w:t>
      </w:r>
    </w:p>
    <w:p>
      <w:pPr>
        <w:numPr>
          <w:ilvl w:val="0"/>
          <w:numId w:val="1007"/>
        </w:numPr>
        <w:pStyle w:val="Compact"/>
      </w:pPr>
      <w:r>
        <w:rPr>
          <w:bCs/>
          <w:b/>
        </w:rPr>
        <w:t xml:space="preserve">Critical Thinking 4</w:t>
      </w:r>
      <w:r>
        <w:t xml:space="preserve"> </w:t>
      </w:r>
      <w:r>
        <w:t xml:space="preserve">— Apply creative thinking skills to generate new ideas and solve problems</w:t>
      </w:r>
    </w:p>
    <w:p>
      <w:pPr>
        <w:numPr>
          <w:ilvl w:val="0"/>
          <w:numId w:val="1007"/>
        </w:numPr>
        <w:pStyle w:val="Compact"/>
      </w:pPr>
      <w:r>
        <w:rPr>
          <w:bCs/>
          <w:b/>
        </w:rPr>
        <w:t xml:space="preserve">Problem-Solving 1</w:t>
      </w:r>
      <w:r>
        <w:t xml:space="preserve"> </w:t>
      </w:r>
      <w:r>
        <w:t xml:space="preserve">— Accurately define a problem</w:t>
      </w:r>
    </w:p>
    <w:p>
      <w:pPr>
        <w:numPr>
          <w:ilvl w:val="0"/>
          <w:numId w:val="1007"/>
        </w:numPr>
        <w:pStyle w:val="Compact"/>
      </w:pPr>
      <w:r>
        <w:rPr>
          <w:bCs/>
          <w:b/>
        </w:rPr>
        <w:t xml:space="preserve">Communication 3</w:t>
      </w:r>
      <w:r>
        <w:t xml:space="preserve"> </w:t>
      </w:r>
      <w:r>
        <w:t xml:space="preserve">— Apply communication skills and concepts to real-world situations</w:t>
      </w:r>
    </w:p>
    <w:p>
      <w:pPr>
        <w:numPr>
          <w:ilvl w:val="0"/>
          <w:numId w:val="1007"/>
        </w:numPr>
        <w:pStyle w:val="Compact"/>
      </w:pPr>
      <w:r>
        <w:rPr>
          <w:bCs/>
          <w:b/>
        </w:rPr>
        <w:t xml:space="preserve">Civic &amp; Global Consciousness 1</w:t>
      </w:r>
      <w:r>
        <w:t xml:space="preserve"> </w:t>
      </w:r>
      <w:r>
        <w:t xml:space="preserve">— Explain global issues, considering various perspectives</w:t>
      </w:r>
    </w:p>
    <w:p>
      <w:pPr>
        <w:numPr>
          <w:ilvl w:val="0"/>
          <w:numId w:val="1007"/>
        </w:numPr>
        <w:pStyle w:val="Compact"/>
      </w:pPr>
      <w:r>
        <w:rPr>
          <w:bCs/>
          <w:b/>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8"/>
        </w:numPr>
        <w:pStyle w:val="Compact"/>
      </w:pPr>
      <w:r>
        <w:rPr>
          <w:bCs/>
          <w:b/>
        </w:rPr>
        <w:t xml:space="preserve">CLO1:</w:t>
      </w:r>
      <w:r>
        <w:t xml:space="preserve"> </w:t>
      </w:r>
      <w:r>
        <w:t xml:space="preserve">Apply fundamental rules of functional group reactivity, including acidity, oxidation and isomerism, to analyze chemical processes and assess their relevance to ecosystem and metabolic health.</w:t>
      </w:r>
    </w:p>
    <w:p>
      <w:pPr>
        <w:numPr>
          <w:ilvl w:val="0"/>
          <w:numId w:val="1008"/>
        </w:numPr>
        <w:pStyle w:val="Compact"/>
      </w:pPr>
      <w:r>
        <w:rPr>
          <w:bCs/>
          <w:b/>
        </w:rPr>
        <w:t xml:space="preserve">CLO2:</w:t>
      </w:r>
      <w:r>
        <w:t xml:space="preserve"> </w:t>
      </w:r>
      <w:r>
        <w:t xml:space="preserve">Compare and contrast the intermolecular and intramolecular forces that influence the shape and function of carbohydrates, lipids, proteins, and nucleic acids, and evaluate their implications for human health and disease.</w:t>
      </w:r>
    </w:p>
    <w:p>
      <w:pPr>
        <w:numPr>
          <w:ilvl w:val="0"/>
          <w:numId w:val="1008"/>
        </w:numPr>
        <w:pStyle w:val="Compact"/>
      </w:pPr>
      <w:r>
        <w:rPr>
          <w:bCs/>
          <w:b/>
        </w:rPr>
        <w:t xml:space="preserve">CLO3:</w:t>
      </w:r>
      <w:r>
        <w:t xml:space="preserve"> </w:t>
      </w:r>
      <w:r>
        <w:t xml:space="preserve">Analyze and evaluate contextual problems related to organic and biological molecules by applying critical thinking skills to propose effective solutions that address climate and public health challenges.</w:t>
      </w:r>
    </w:p>
    <w:p>
      <w:pPr>
        <w:numPr>
          <w:ilvl w:val="0"/>
          <w:numId w:val="1008"/>
        </w:numPr>
        <w:pStyle w:val="Compact"/>
      </w:pPr>
      <w:r>
        <w:rPr>
          <w:bCs/>
          <w:b/>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Course Outcomes</w:t>
            </w:r>
          </w:p>
        </w:tc>
        <w:tc>
          <w:tcPr/>
          <w:p>
            <w:pPr>
              <w:pStyle w:val="Compact"/>
              <w:jc w:val="left"/>
            </w:pPr>
            <w:r>
              <w:t xml:space="preserve">Assessment of Course Outcomes</w:t>
            </w:r>
          </w:p>
        </w:tc>
      </w:tr>
      <w:tr>
        <w:tc>
          <w:tcPr/>
          <w:p>
            <w:pPr>
              <w:pStyle w:val="Compact"/>
              <w:jc w:val="left"/>
            </w:pPr>
            <w:r>
              <w:t xml:space="preserve">CLO1</w:t>
            </w:r>
          </w:p>
        </w:tc>
        <w:tc>
          <w:tcPr/>
          <w:p>
            <w:pPr>
              <w:pStyle w:val="Compact"/>
              <w:jc w:val="left"/>
            </w:pPr>
            <w:r>
              <w:t xml:space="preserve">ALEKS Problem Sets, 3-2-1 Team Posts, Lab Experiments, OOL Discussions, Final TYC Project</w:t>
            </w:r>
          </w:p>
        </w:tc>
      </w:tr>
      <w:tr>
        <w:tc>
          <w:tcPr/>
          <w:p>
            <w:pPr>
              <w:pStyle w:val="Compact"/>
              <w:jc w:val="left"/>
            </w:pPr>
            <w:r>
              <w:t xml:space="preserve">CLO2</w:t>
            </w:r>
          </w:p>
        </w:tc>
        <w:tc>
          <w:tcPr/>
          <w:p>
            <w:pPr>
              <w:pStyle w:val="Compact"/>
              <w:jc w:val="left"/>
            </w:pPr>
            <w:r>
              <w:t xml:space="preserve">Quizzes, ALEKS Problem Sets, 3-2-1 Team Posts, Lab Experiments, Final TYC Project</w:t>
            </w:r>
          </w:p>
        </w:tc>
      </w:tr>
      <w:tr>
        <w:tc>
          <w:tcPr/>
          <w:p>
            <w:pPr>
              <w:pStyle w:val="Compact"/>
              <w:jc w:val="left"/>
            </w:pPr>
            <w:r>
              <w:t xml:space="preserve">CLO3</w:t>
            </w:r>
          </w:p>
        </w:tc>
        <w:tc>
          <w:tcPr/>
          <w:p>
            <w:pPr>
              <w:pStyle w:val="Compact"/>
              <w:jc w:val="left"/>
            </w:pPr>
            <w:r>
              <w:t xml:space="preserve">Quizzes, ALEKS Problem Sets, 3-2-1 Team Posts, Lab Experiments, Final TYC Project</w:t>
            </w:r>
          </w:p>
        </w:tc>
      </w:tr>
      <w:tr>
        <w:tc>
          <w:tcPr/>
          <w:p>
            <w:pPr>
              <w:pStyle w:val="Compact"/>
              <w:jc w:val="left"/>
            </w:pPr>
            <w:r>
              <w:t xml:space="preserve">CLO4</w:t>
            </w:r>
          </w:p>
        </w:tc>
        <w:tc>
          <w:tcPr/>
          <w:p>
            <w:pPr>
              <w:pStyle w:val="Compact"/>
              <w:jc w:val="left"/>
            </w:pPr>
            <w:r>
              <w:t xml:space="preserve">OOL Discussions, Lab Experiments, Final TYC Project</w:t>
            </w:r>
          </w:p>
        </w:tc>
      </w:tr>
    </w:tbl>
    <w:bookmarkEnd w:id="44"/>
    <w:bookmarkStart w:id="51" w:name="how-will-i-be-graded-and-why"/>
    <w:p>
      <w:pPr>
        <w:pStyle w:val="Heading1"/>
      </w:pPr>
      <w:r>
        <w:t xml:space="preserve">How Will I Be Graded, and Why?</w:t>
      </w:r>
    </w:p>
    <w:p>
      <w:pPr>
        <w:pStyle w:val="FirstParagraph"/>
      </w:pPr>
      <w:r>
        <w:rPr>
          <w:iCs/>
          <w:i/>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w:t>
      </w:r>
      <w:r>
        <w:t xml:space="preserve">“</w:t>
      </w:r>
      <w:r>
        <w:t xml:space="preserve">Learn one, do one, teach one.</w:t>
      </w:r>
      <w:r>
        <w:t xml:space="preserve">”</w:t>
      </w:r>
      <w:r>
        <w:t xml:space="preserve">)</w:t>
      </w:r>
    </w:p>
    <w:bookmarkStart w:id="45" w:name="Xdd0719f115f2bfe56e3e892841df085ef5ba506"/>
    <w:p>
      <w:pPr>
        <w:pStyle w:val="Heading2"/>
      </w:pPr>
      <w:r>
        <w:t xml:space="preserve">Assignment Categories and Their Percentage of the Final Grade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3-2-1 Team Posts</w:t>
            </w:r>
          </w:p>
        </w:tc>
        <w:tc>
          <w:tcPr/>
          <w:p>
            <w:pPr>
              <w:pStyle w:val="Compact"/>
              <w:jc w:val="left"/>
            </w:pPr>
            <w:r>
              <w:t xml:space="preserve">15%</w:t>
            </w:r>
          </w:p>
        </w:tc>
        <w:tc>
          <w:tcPr/>
          <w:p>
            <w:pPr>
              <w:pStyle w:val="Compact"/>
              <w:jc w:val="left"/>
            </w:pPr>
            <w:r>
              <w:t xml:space="preserve">Weekly 3-2-1 Team Discussions — lecture Activities completed and uploaded, plus your engagement with your team</w:t>
            </w:r>
          </w:p>
        </w:tc>
      </w:tr>
      <w:tr>
        <w:tc>
          <w:tcPr/>
          <w:p>
            <w:pPr>
              <w:pStyle w:val="Compact"/>
              <w:jc w:val="left"/>
            </w:pPr>
            <w:r>
              <w:t xml:space="preserve">OOL Discussions</w:t>
            </w:r>
          </w:p>
        </w:tc>
        <w:tc>
          <w:tcPr/>
          <w:p>
            <w:pPr>
              <w:pStyle w:val="Compact"/>
              <w:jc w:val="left"/>
            </w:pPr>
            <w:r>
              <w:t xml:space="preserve">15%</w:t>
            </w:r>
          </w:p>
        </w:tc>
        <w:tc>
          <w:tcPr/>
          <w:p>
            <w:pPr>
              <w:pStyle w:val="Compact"/>
              <w:jc w:val="left"/>
            </w:pPr>
            <w:r>
              <w:t xml:space="preserve">Weekly Outside-of-Lecture discussion post and replies</w:t>
            </w:r>
          </w:p>
        </w:tc>
      </w:tr>
      <w:tr>
        <w:tc>
          <w:tcPr/>
          <w:p>
            <w:pPr>
              <w:pStyle w:val="Compact"/>
              <w:jc w:val="left"/>
            </w:pPr>
            <w:r>
              <w:t xml:space="preserve">Lab Experiments</w:t>
            </w:r>
          </w:p>
        </w:tc>
        <w:tc>
          <w:tcPr/>
          <w:p>
            <w:pPr>
              <w:pStyle w:val="Compact"/>
              <w:jc w:val="left"/>
            </w:pPr>
            <w:r>
              <w:t xml:space="preserve">25%</w:t>
            </w:r>
          </w:p>
        </w:tc>
        <w:tc>
          <w:tcPr/>
          <w:p>
            <w:pPr>
              <w:pStyle w:val="Compact"/>
              <w:jc w:val="left"/>
            </w:pPr>
            <w:r>
              <w:t xml:space="preserve">Weekly on-campus labs — Background, Methods, Results, Findings, and Conclusions (100 points per lab)</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(Weeks 4, 6, 8, and 10 — Week 10 carries both Quiz 4 and Quiz 5)</w:t>
            </w:r>
          </w:p>
        </w:tc>
      </w:tr>
      <w:tr>
        <w:tc>
          <w:tcPr/>
          <w:p>
            <w:pPr>
              <w:pStyle w:val="Compact"/>
              <w:jc w:val="left"/>
            </w:pPr>
            <w:r>
              <w:t xml:space="preserve">ALEKS Problem Sets</w:t>
            </w:r>
          </w:p>
        </w:tc>
        <w:tc>
          <w:tcPr/>
          <w:p>
            <w:pPr>
              <w:pStyle w:val="Compact"/>
              <w:jc w:val="left"/>
            </w:pPr>
            <w:r>
              <w:t xml:space="preserve">15%</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p>
      <w:pPr>
        <w:pStyle w:val="BodyText"/>
      </w:pPr>
      <w:r>
        <w:rPr>
          <w:bCs/>
          <w:b/>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45"/>
    <w:bookmarkStart w:id="4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9"/>
        </w:numPr>
        <w:pStyle w:val="Compact"/>
      </w:pPr>
      <w:r>
        <w:t xml:space="preserve">Each lab has five parts, totaling 100 points: Background (10 pts) and Methods (40 pts), Results (20 pts), and Findings (10 pts) and Conclusions (20 pts) — see Weekly Flow above for exactly when each is due.</w:t>
      </w:r>
    </w:p>
    <w:p>
      <w:pPr>
        <w:numPr>
          <w:ilvl w:val="0"/>
          <w:numId w:val="1009"/>
        </w:numPr>
        <w:pStyle w:val="Compact"/>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numPr>
          <w:ilvl w:val="0"/>
          <w:numId w:val="1009"/>
        </w:numPr>
        <w:pStyle w:val="Compact"/>
      </w:pPr>
      <w:r>
        <w:t xml:space="preserve">If you miss two experiments, the second missed lab is scored zero.</w:t>
      </w:r>
    </w:p>
    <w:p>
      <w:pPr>
        <w:numPr>
          <w:ilvl w:val="0"/>
          <w:numId w:val="1009"/>
        </w:numPr>
        <w:pStyle w:val="Compact"/>
      </w:pPr>
      <w:r>
        <w:t xml:space="preserve">Missing three weeks of lab, or having two incomplete labs, means you cannot pass the course.</w:t>
      </w:r>
    </w:p>
    <w:bookmarkEnd w:id="46"/>
    <w:bookmarkStart w:id="47"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87</w:t>
            </w:r>
          </w:p>
        </w:tc>
        <w:tc>
          <w:tcPr/>
          <w:p>
            <w:pPr>
              <w:pStyle w:val="Compact"/>
              <w:jc w:val="left"/>
            </w:pPr>
            <w:r>
              <w:t xml:space="preserve">B</w:t>
            </w:r>
          </w:p>
        </w:tc>
        <w:tc>
          <w:tcPr/>
          <w:p>
            <w:pPr>
              <w:pStyle w:val="Compact"/>
              <w:jc w:val="left"/>
            </w:pPr>
            <w:r>
              <w:t xml:space="preserve">73 up to 77</w:t>
            </w:r>
          </w:p>
        </w:tc>
        <w:tc>
          <w:tcPr/>
          <w:p>
            <w:pPr>
              <w:pStyle w:val="Compact"/>
              <w:jc w:val="left"/>
            </w:pPr>
            <w:r>
              <w:t xml:space="preserve">C</w:t>
            </w:r>
          </w:p>
        </w:tc>
      </w:tr>
      <w:tr>
        <w:tc>
          <w:tcPr/>
          <w:p>
            <w:pPr>
              <w:pStyle w:val="Compact"/>
              <w:jc w:val="left"/>
            </w:pPr>
            <w:r>
              <w:t xml:space="preserve">90 up to 93</w:t>
            </w:r>
          </w:p>
        </w:tc>
        <w:tc>
          <w:tcPr/>
          <w:p>
            <w:pPr>
              <w:pStyle w:val="Compact"/>
              <w:jc w:val="left"/>
            </w:pPr>
            <w:r>
              <w:t xml:space="preserve">A-</w:t>
            </w:r>
          </w:p>
        </w:tc>
        <w:tc>
          <w:tcPr/>
          <w:p>
            <w:pPr>
              <w:pStyle w:val="Compact"/>
              <w:jc w:val="left"/>
            </w:pPr>
            <w:r>
              <w:t xml:space="preserve">80 up to 83</w:t>
            </w:r>
          </w:p>
        </w:tc>
        <w:tc>
          <w:tcPr/>
          <w:p>
            <w:pPr>
              <w:pStyle w:val="Compact"/>
              <w:jc w:val="left"/>
            </w:pPr>
            <w:r>
              <w:t xml:space="preserve">B-</w:t>
            </w:r>
          </w:p>
        </w:tc>
        <w:tc>
          <w:tcPr/>
          <w:p>
            <w:pPr>
              <w:pStyle w:val="Compact"/>
              <w:jc w:val="left"/>
            </w:pPr>
            <w:r>
              <w:t xml:space="preserve">60 up to 73</w:t>
            </w:r>
          </w:p>
        </w:tc>
        <w:tc>
          <w:tcPr/>
          <w:p>
            <w:pPr>
              <w:pStyle w:val="Compact"/>
              <w:jc w:val="left"/>
            </w:pPr>
            <w:r>
              <w:t xml:space="preserve">D</w:t>
            </w:r>
          </w:p>
        </w:tc>
      </w:tr>
      <w:tr>
        <w:tc>
          <w:tcPr/>
          <w:p>
            <w:pPr>
              <w:pStyle w:val="Compact"/>
              <w:jc w:val="left"/>
            </w:pPr>
            <w:r>
              <w:t xml:space="preserve">87 up to 90</w:t>
            </w:r>
          </w:p>
        </w:tc>
        <w:tc>
          <w:tcPr/>
          <w:p>
            <w:pPr>
              <w:pStyle w:val="Compact"/>
              <w:jc w:val="left"/>
            </w:pPr>
            <w:r>
              <w:t xml:space="preserve">B+</w:t>
            </w:r>
          </w:p>
        </w:tc>
        <w:tc>
          <w:tcPr/>
          <w:p>
            <w:pPr>
              <w:pStyle w:val="Compact"/>
              <w:jc w:val="left"/>
            </w:pPr>
            <w:r>
              <w:t xml:space="preserve">77 up to 80</w:t>
            </w:r>
          </w:p>
        </w:tc>
        <w:tc>
          <w:tcPr/>
          <w:p>
            <w:pPr>
              <w:pStyle w:val="Compact"/>
              <w:jc w:val="left"/>
            </w:pPr>
            <w:r>
              <w:t xml:space="preserve">C+</w:t>
            </w:r>
          </w:p>
        </w:tc>
        <w:tc>
          <w:tcPr/>
          <w:p>
            <w:pPr>
              <w:pStyle w:val="Compact"/>
              <w:jc w:val="left"/>
            </w:pPr>
            <w:r>
              <w:t xml:space="preserve">0 up to 60</w:t>
            </w:r>
          </w:p>
        </w:tc>
        <w:tc>
          <w:tcPr/>
          <w:p>
            <w:pPr>
              <w:pStyle w:val="Compact"/>
              <w:jc w:val="left"/>
            </w:pPr>
            <w:r>
              <w:t xml:space="preserve">F</w:t>
            </w:r>
          </w:p>
        </w:tc>
      </w:tr>
    </w:tbl>
    <w:bookmarkEnd w:id="47"/>
    <w:bookmarkStart w:id="4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10"/>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10"/>
        </w:numPr>
        <w:pStyle w:val="Compact"/>
      </w:pPr>
      <w:r>
        <w:t xml:space="preserve">In-person lab attendance and the Final TYC Project have no grace period.</w:t>
      </w:r>
    </w:p>
    <w:p>
      <w:pPr>
        <w:numPr>
          <w:ilvl w:val="0"/>
          <w:numId w:val="1010"/>
        </w:numPr>
        <w:pStyle w:val="Compact"/>
      </w:pPr>
      <w:r>
        <w:t xml:space="preserve">No due dates extend beyond the course end date.</w:t>
      </w:r>
    </w:p>
    <w:p>
      <w:pPr>
        <w:numPr>
          <w:ilvl w:val="0"/>
          <w:numId w:val="1010"/>
        </w:numPr>
        <w:pStyle w:val="Compact"/>
      </w:pPr>
      <w:r>
        <w:t xml:space="preserve">If something requiring a prolonged absence occurs, contact me via Canvas Inbox and let’s see what solutions are possible.</w:t>
      </w:r>
    </w:p>
    <w:bookmarkEnd w:id="48"/>
    <w:bookmarkStart w:id="49" w:name="feedback"/>
    <w:p>
      <w:pPr>
        <w:pStyle w:val="Heading2"/>
      </w:pPr>
      <w:r>
        <w:t xml:space="preserve">Feedback</w:t>
      </w:r>
    </w:p>
    <w:p>
      <w:pPr>
        <w:pStyle w:val="FirstParagraph"/>
      </w:pPr>
      <w:r>
        <w:t xml:space="preserve">Discussions and other work are graded within 48 hours of each due date.</w:t>
      </w:r>
    </w:p>
    <w:bookmarkEnd w:id="49"/>
    <w:bookmarkStart w:id="5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0"/>
    <w:bookmarkEnd w:id="51"/>
    <w:bookmarkStart w:id="83" w:name="Xc43a7a922298ad0f9db64bde08ef36f42168a56"/>
    <w:p>
      <w:pPr>
        <w:pStyle w:val="Heading1"/>
      </w:pPr>
      <w:r>
        <w:t xml:space="preserve">What Resources and Support Services Are Available to Me?</w:t>
      </w:r>
    </w:p>
    <w:p>
      <w:pPr>
        <w:pStyle w:val="FirstParagraph"/>
      </w:pPr>
      <w:r>
        <w:rPr>
          <w:iCs/>
          <w:i/>
        </w:rPr>
        <w:t xml:space="preserve">TL;DR: Tech Hub for Canvas/software problems, Tutoring or Librarians for coursework help, Basic Needs Hub if life is making this term hard.</w:t>
      </w:r>
    </w:p>
    <w:bookmarkStart w:id="57"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2">
              <w:r>
                <w:rPr>
                  <w:rStyle w:val="Hyperlink"/>
                  <w:bCs/>
                  <w:b/>
                </w:rPr>
                <w:t xml:space="preserve">Tech Hub</w:t>
              </w:r>
            </w:hyperlink>
          </w:p>
        </w:tc>
        <w:tc>
          <w:tcPr/>
          <w:p>
            <w:pPr>
              <w:pStyle w:val="Compact"/>
              <w:jc w:val="left"/>
            </w:pPr>
            <w:r>
              <w:t xml:space="preserve">Canvas, software, or account trouble —</w:t>
            </w:r>
            <w:r>
              <w:t xml:space="preserve"> </w:t>
            </w:r>
            <w:hyperlink r:id="rId53">
              <w:r>
                <w:rPr>
                  <w:rStyle w:val="Hyperlink"/>
                </w:rPr>
                <w:t xml:space="preserve">Scarpelli Hall 135</w:t>
              </w:r>
            </w:hyperlink>
            <w:r>
              <w:t xml:space="preserve"> </w:t>
            </w:r>
            <w:r>
              <w:t xml:space="preserve">·</w:t>
            </w:r>
            <w:r>
              <w:t xml:space="preserve"> </w:t>
            </w:r>
            <w:hyperlink r:id="rId54">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5">
              <w:r>
                <w:rPr>
                  <w:rStyle w:val="Hyperlink"/>
                </w:rPr>
                <w:t xml:space="preserve">Canvas Guides</w:t>
              </w:r>
            </w:hyperlink>
            <w:r>
              <w:t xml:space="preserve"> </w:t>
            </w:r>
            <w:r>
              <w:t xml:space="preserve">·</w:t>
            </w:r>
            <w:r>
              <w:t xml:space="preserve"> </w:t>
            </w:r>
            <w:hyperlink r:id="rId56">
              <w:r>
                <w:rPr>
                  <w:rStyle w:val="Hyperlink"/>
                </w:rPr>
                <w:t xml:space="preserve">Student Guide</w:t>
              </w:r>
            </w:hyperlink>
          </w:p>
        </w:tc>
      </w:tr>
      <w:tr>
        <w:tc>
          <w:tcPr/>
          <w:p>
            <w:pPr>
              <w:pStyle w:val="Compact"/>
              <w:jc w:val="left"/>
            </w:pPr>
            <w:r>
              <w:rPr>
                <w:bCs/>
                <w:b/>
              </w:rPr>
              <w:t xml:space="preserve">Setup help</w:t>
            </w:r>
          </w:p>
        </w:tc>
        <w:tc>
          <w:tcPr/>
          <w:p>
            <w:pPr>
              <w:pStyle w:val="Compact"/>
              <w:jc w:val="left"/>
            </w:pPr>
            <w:r>
              <w:t xml:space="preserve">Getting Started: Course Orientation has the Office/OneDrive setup guide — this step trips people up, so budget real time and reach out to Tech Hub if you hit an error</w:t>
            </w:r>
          </w:p>
        </w:tc>
      </w:tr>
    </w:tbl>
    <w:bookmarkEnd w:id="57"/>
    <w:bookmarkStart w:id="64"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8">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59">
              <w:r>
                <w:rPr>
                  <w:rStyle w:val="Hyperlink"/>
                  <w:bCs/>
                  <w:b/>
                </w:rPr>
                <w:t xml:space="preserve">Clark College Tutoring Services</w:t>
              </w:r>
            </w:hyperlink>
          </w:p>
        </w:tc>
        <w:tc>
          <w:tcPr/>
          <w:p>
            <w:pPr>
              <w:pStyle w:val="Compact"/>
              <w:jc w:val="left"/>
            </w:pPr>
            <w:r>
              <w:t xml:space="preserve">In-person and virtual tutoring via Zoom; see the</w:t>
            </w:r>
            <w:r>
              <w:t xml:space="preserve"> </w:t>
            </w:r>
            <w:hyperlink r:id="rId60">
              <w:r>
                <w:rPr>
                  <w:rStyle w:val="Hyperlink"/>
                </w:rPr>
                <w:t xml:space="preserve">Virtual Tutoring Center</w:t>
              </w:r>
            </w:hyperlink>
            <w:r>
              <w:t xml:space="preserve"> </w:t>
            </w:r>
            <w:r>
              <w:t xml:space="preserve">Canvas course;</w:t>
            </w:r>
            <w:r>
              <w:t xml:space="preserve"> </w:t>
            </w:r>
            <w:hyperlink r:id="rId61">
              <w:r>
                <w:rPr>
                  <w:rStyle w:val="Hyperlink"/>
                </w:rPr>
                <w:t xml:space="preserve">eTutoringOnline.org</w:t>
              </w:r>
            </w:hyperlink>
            <w:r>
              <w:t xml:space="preserve"> </w:t>
            </w:r>
            <w:r>
              <w:t xml:space="preserve">for additional online writing lab support.</w:t>
            </w:r>
          </w:p>
        </w:tc>
      </w:tr>
      <w:tr>
        <w:tc>
          <w:tcPr/>
          <w:p>
            <w:pPr>
              <w:pStyle w:val="Compact"/>
              <w:jc w:val="left"/>
            </w:pPr>
            <w:hyperlink r:id="rId62">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3">
              <w:r>
                <w:rPr>
                  <w:rStyle w:val="Hyperlink"/>
                </w:rPr>
                <w:t xml:space="preserve">chat</w:t>
              </w:r>
            </w:hyperlink>
            <w:r>
              <w:t xml:space="preserve">.</w:t>
            </w:r>
          </w:p>
        </w:tc>
      </w:tr>
    </w:tbl>
    <w:bookmarkEnd w:id="64"/>
    <w:bookmarkStart w:id="82"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5">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6">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67">
              <w:r>
                <w:rPr>
                  <w:rStyle w:val="Hyperlink"/>
                </w:rPr>
                <w:t xml:space="preserve">Diversity Center</w:t>
              </w:r>
            </w:hyperlink>
            <w:r>
              <w:t xml:space="preserve"> </w:t>
            </w:r>
            <w:r>
              <w:t xml:space="preserve">is a great place to visit between classes.</w:t>
            </w:r>
          </w:p>
        </w:tc>
      </w:tr>
      <w:tr>
        <w:tc>
          <w:tcPr/>
          <w:p>
            <w:pPr>
              <w:pStyle w:val="Compact"/>
              <w:jc w:val="left"/>
            </w:pPr>
            <w:hyperlink r:id="rId68">
              <w:r>
                <w:rPr>
                  <w:rStyle w:val="Hyperlink"/>
                  <w:bCs/>
                  <w:b/>
                </w:rPr>
                <w:t xml:space="preserve">Penguin Pantry</w:t>
              </w:r>
            </w:hyperlink>
          </w:p>
        </w:tc>
        <w:tc>
          <w:tcPr/>
          <w:p>
            <w:pPr>
              <w:pStyle w:val="Compact"/>
              <w:jc w:val="left"/>
            </w:pPr>
            <w:r>
              <w:t xml:space="preserve">Monthly pre-packaged food boxes. Contact Cath Busha, Dean of Student Engagement (</w:t>
            </w:r>
            <w:hyperlink r:id="rId69">
              <w:r>
                <w:rPr>
                  <w:rStyle w:val="Hyperlink"/>
                </w:rPr>
                <w:t xml:space="preserve">cbusha@clark.edu</w:t>
              </w:r>
            </w:hyperlink>
            <w:r>
              <w:t xml:space="preserve">).</w:t>
            </w:r>
          </w:p>
        </w:tc>
      </w:tr>
      <w:tr>
        <w:tc>
          <w:tcPr/>
          <w:p>
            <w:pPr>
              <w:pStyle w:val="Compact"/>
              <w:jc w:val="left"/>
            </w:pPr>
            <w:hyperlink r:id="rId70">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71">
              <w:r>
                <w:rPr>
                  <w:rStyle w:val="Hyperlink"/>
                </w:rPr>
                <w:t xml:space="preserve">intake form</w:t>
              </w:r>
            </w:hyperlink>
            <w:r>
              <w:t xml:space="preserve">. basicneeds@clark.edu · 360-992-2766 · Gaiser Hall (GHL) 216.</w:t>
            </w:r>
          </w:p>
        </w:tc>
      </w:tr>
      <w:tr>
        <w:tc>
          <w:tcPr/>
          <w:p>
            <w:pPr>
              <w:pStyle w:val="Compact"/>
              <w:jc w:val="left"/>
            </w:pPr>
            <w:hyperlink r:id="rId72">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3">
              <w:r>
                <w:rPr>
                  <w:rStyle w:val="Hyperlink"/>
                </w:rPr>
                <w:t xml:space="preserve">schedule an appointment</w:t>
              </w:r>
            </w:hyperlink>
            <w:r>
              <w:t xml:space="preserve">.</w:t>
            </w:r>
          </w:p>
        </w:tc>
      </w:tr>
      <w:tr>
        <w:tc>
          <w:tcPr/>
          <w:p>
            <w:pPr>
              <w:pStyle w:val="Compact"/>
              <w:jc w:val="left"/>
            </w:pPr>
            <w:hyperlink r:id="rId74">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5">
              <w:r>
                <w:rPr>
                  <w:rStyle w:val="Hyperlink"/>
                </w:rPr>
                <w:t xml:space="preserve">careerservices@clark.edu</w:t>
              </w:r>
            </w:hyperlink>
          </w:p>
        </w:tc>
      </w:tr>
      <w:tr>
        <w:tc>
          <w:tcPr/>
          <w:p>
            <w:pPr>
              <w:pStyle w:val="Compact"/>
              <w:jc w:val="left"/>
            </w:pPr>
            <w:hyperlink r:id="rId76">
              <w:r>
                <w:rPr>
                  <w:rStyle w:val="Hyperlink"/>
                  <w:bCs/>
                  <w:b/>
                </w:rPr>
                <w:t xml:space="preserve">Veterans Center of Excellence</w:t>
              </w:r>
            </w:hyperlink>
          </w:p>
        </w:tc>
        <w:tc>
          <w:tcPr/>
          <w:p>
            <w:pPr>
              <w:pStyle w:val="Compact"/>
              <w:jc w:val="left"/>
            </w:pPr>
            <w:r>
              <w:t xml:space="preserve">Resources, community, and support for U.S. military service members.</w:t>
            </w:r>
            <w:r>
              <w:t xml:space="preserve"> </w:t>
            </w:r>
            <w:hyperlink r:id="rId77">
              <w:r>
                <w:rPr>
                  <w:rStyle w:val="Hyperlink"/>
                </w:rPr>
                <w:t xml:space="preserve">PUB 015</w:t>
              </w:r>
            </w:hyperlink>
            <w:r>
              <w:t xml:space="preserve"> </w:t>
            </w:r>
            <w:r>
              <w:t xml:space="preserve">· 360-992-2073 ·</w:t>
            </w:r>
            <w:r>
              <w:t xml:space="preserve"> </w:t>
            </w:r>
            <w:hyperlink r:id="rId78">
              <w:r>
                <w:rPr>
                  <w:rStyle w:val="Hyperlink"/>
                </w:rPr>
                <w:t xml:space="preserve">Vetresources@clark.edu</w:t>
              </w:r>
            </w:hyperlink>
          </w:p>
        </w:tc>
      </w:tr>
    </w:tbl>
    <w:p>
      <w:pPr>
        <w:pStyle w:val="BodyText"/>
      </w:pPr>
      <w:r>
        <w:t xml:space="preserve">You can find all these resources as well as links to the</w:t>
      </w:r>
      <w:r>
        <w:t xml:space="preserve"> </w:t>
      </w:r>
      <w:hyperlink r:id="rId36">
        <w:r>
          <w:rPr>
            <w:rStyle w:val="Hyperlink"/>
          </w:rPr>
          <w:t xml:space="preserve">Clark bookstore</w:t>
        </w:r>
      </w:hyperlink>
      <w:r>
        <w:t xml:space="preserve">,</w:t>
      </w:r>
      <w:r>
        <w:t xml:space="preserve"> </w:t>
      </w:r>
      <w:hyperlink r:id="rId79">
        <w:r>
          <w:rPr>
            <w:rStyle w:val="Hyperlink"/>
          </w:rPr>
          <w:t xml:space="preserve">C-Tran</w:t>
        </w:r>
      </w:hyperlink>
      <w:r>
        <w:t xml:space="preserve">,</w:t>
      </w:r>
      <w:r>
        <w:t xml:space="preserve"> </w:t>
      </w:r>
      <w:hyperlink r:id="rId80">
        <w:r>
          <w:rPr>
            <w:rStyle w:val="Hyperlink"/>
          </w:rPr>
          <w:t xml:space="preserve">campus maps</w:t>
        </w:r>
      </w:hyperlink>
      <w:r>
        <w:t xml:space="preserve">, and campus life and activities at the</w:t>
      </w:r>
      <w:r>
        <w:t xml:space="preserve"> </w:t>
      </w:r>
      <w:hyperlink r:id="rId81">
        <w:r>
          <w:rPr>
            <w:rStyle w:val="Hyperlink"/>
          </w:rPr>
          <w:t xml:space="preserve">Clark Students website</w:t>
        </w:r>
      </w:hyperlink>
      <w:r>
        <w:t xml:space="preserve">.</w:t>
      </w:r>
    </w:p>
    <w:bookmarkEnd w:id="82"/>
    <w:bookmarkEnd w:id="83"/>
    <w:bookmarkStart w:id="8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4"/>
    <w:bookmarkStart w:id="86" w:name="appendix-official-college-policies"/>
    <w:p>
      <w:pPr>
        <w:pStyle w:val="Heading1"/>
      </w:pPr>
      <w:r>
        <w:t xml:space="preserve">Appendix: Official College Policies</w:t>
      </w:r>
    </w:p>
    <w:p>
      <w:pPr>
        <w:pStyle w:val="FirstParagraph"/>
      </w:pPr>
      <w:r>
        <w:rPr>
          <w:iCs/>
          <w:i/>
        </w:rPr>
        <w:t xml:space="preserve">TL;DR: The full text of Clark’s required policy language lives in one centrally-maintained Canvas course, so it can’t drift out of date here. Quick summaries below; contact me if any of these apply to you.</w:t>
      </w:r>
    </w:p>
    <w:p>
      <w:pPr>
        <w:numPr>
          <w:ilvl w:val="0"/>
          <w:numId w:val="1011"/>
        </w:numPr>
        <w:pStyle w:val="Compact"/>
      </w:pPr>
      <w:r>
        <w:rPr>
          <w:bCs/>
          <w:b/>
        </w:rPr>
        <w:t xml:space="preserve">ADA Accommodations</w:t>
      </w:r>
      <w:r>
        <w:t xml:space="preserve"> </w:t>
      </w:r>
      <w:r>
        <w:t xml:space="preserve">— If a disability or temporary health condition affects your coursework, the</w:t>
      </w:r>
      <w:r>
        <w:t xml:space="preserve"> </w:t>
      </w:r>
      <w:hyperlink r:id="rId29">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numPr>
          <w:ilvl w:val="0"/>
          <w:numId w:val="1011"/>
        </w:numPr>
        <w:pStyle w:val="Compact"/>
      </w:pPr>
      <w:r>
        <w:rPr>
          <w:bCs/>
          <w:b/>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numPr>
          <w:ilvl w:val="0"/>
          <w:numId w:val="1011"/>
        </w:numPr>
        <w:pStyle w:val="Compact"/>
      </w:pPr>
      <w:r>
        <w:rPr>
          <w:bCs/>
          <w:b/>
        </w:rPr>
        <w:t xml:space="preserve">Title IX and Sexual Misconduct</w:t>
      </w:r>
      <w:r>
        <w:t xml:space="preserve"> </w:t>
      </w:r>
      <w:r>
        <w:t xml:space="preserve">— If you or someone you know has experienced sexual misconduct, you’re not alone — support, reporting options, and campus resources are available.</w:t>
      </w:r>
    </w:p>
    <w:p>
      <w:pPr>
        <w:numPr>
          <w:ilvl w:val="0"/>
          <w:numId w:val="1011"/>
        </w:numPr>
        <w:pStyle w:val="Compact"/>
      </w:pPr>
      <w:r>
        <w:rPr>
          <w:bCs/>
          <w:b/>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85">
        <w:r>
          <w:rPr>
            <w:rStyle w:val="Hyperlink"/>
          </w:rPr>
          <w:t xml:space="preserve">Clark College Policies Canvas course</w:t>
        </w:r>
      </w:hyperlink>
      <w:r>
        <w:t xml:space="preserv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2026-10-03T23:17:09Z</dcterms:created>
  <dcterms:modified xsi:type="dcterms:W3CDTF">2026-10-03T23:17:09Z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