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CHEM&amp;131: Introduction to Organic and Biochemistry</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rPr>
          <w:lang w:val="en-US"/>
        </w:rP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CHEM&amp;131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 most of it on Canvas, plus your 4-hour on-campus lab.</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insight from the video key).</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CHEM&amp;131: Introduction to Organic and Biochemistry</w:t>
            </w:r>
          </w:p>
        </w:tc>
      </w:tr>
      <w:tr>
        <w:trPr>
          <w:cantSplit/>
        </w:trPr>
        <w:tc>
          <w:tcPr/>
          <w:p>
            <w:pPr>
              <w:pStyle w:val="Compact"/>
            </w:pPr>
            <w:r>
              <w:rPr>
                <w:b/>
                <w:bCs/>
                <w:lang w:val="en-US"/>
              </w:rPr>
              <w:t xml:space="preserve">Course Nbr/Sec</w:t>
            </w:r>
          </w:p>
        </w:tc>
        <w:tc>
          <w:tcPr/>
          <w:p>
            <w:pPr>
              <w:pStyle w:val="Compact"/>
            </w:pPr>
            <w:r>
              <w:rPr>
                <w:lang w:val="en-US"/>
              </w:rPr>
              <w:t xml:space="preserve">18411/18412</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209, Tu/Th 2:00–3:50 PM (18411).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CHEM&amp;121 (grade of</w:t>
            </w:r>
            <w:r>
              <w:rPr>
                <w:lang w:val="en-US"/>
              </w:rPr>
              <w:t xml:space="preserve"> </w:t>
            </w:r>
            <w:r>
              <w:rPr>
                <w:lang w:val="en-US"/>
              </w:rPr>
              <w:t xml:space="preserve">“C”</w:t>
            </w:r>
            <w:r>
              <w:rPr>
                <w:lang w:val="en-US"/>
              </w:rPr>
              <w:t xml:space="preserve"> </w:t>
            </w:r>
            <w:r>
              <w:rPr>
                <w:lang w:val="en-US"/>
              </w:rPr>
              <w:t xml:space="preserve">or higher).</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p>
          <w:p>
            <w:pPr>
              <w:pStyle w:val="BodyText"/>
            </w:pPr>
            <w:r>
              <w:rPr>
                <w:b/>
                <w:bCs/>
                <w:lang w:val="en-US"/>
              </w:rPr>
              <w:t xml:space="preserve">What that means in practice:</w:t>
            </w:r>
            <w:r>
              <w:rPr>
                <w:lang w:val="en-US"/>
              </w:rPr>
              <w:t xml:space="preserve"> </w:t>
            </w:r>
            <w:r>
              <w:rPr>
                <w:lang w:val="en-US"/>
              </w:rP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rPr>
          <w:lang w:val="en-US"/>
        </w:rPr>
        <w:t xml:space="preserve">Welcome to Class!</w:t>
      </w:r>
    </w:p>
    <w:p>
      <w:pPr>
        <w:pStyle w:val="FirstParagraph"/>
      </w:pPr>
      <w:r>
        <w:rPr>
          <w:i/>
          <w:iCs/>
          <w:lang w:val="en-US"/>
        </w:rPr>
        <w:t xml:space="preserve">TL;DR: Hybrid means lectures online, labs on campus. Weekly TEAM discussions and lab two days per week. Show up, stay engaged, and ask for help before you’re stuck.</w:t>
      </w:r>
    </w:p>
    <w:p>
      <w:pPr>
        <w:pStyle w:val="BodyText"/>
      </w:pPr>
      <w:r>
        <w:rPr>
          <w:lang w:val="en-US"/>
        </w:rPr>
        <w:t xml:space="preserve">Welcome, welcome, welcome! I’m Dr. B (Dr. Karl Bailey, he/him), and I’m glad to have you in CHEM&amp;131 this term. Wherever your last CHEM class was, I’m glad you’re here. Let’s get into how this class will work for you!</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rPr>
          <w:lang w:val="en-US"/>
        </w:rPr>
        <w:t xml:space="preserve">What can I expect in class?</w:t>
      </w:r>
    </w:p>
    <w:p>
      <w:pPr>
        <w:pStyle w:val="FirstParagraph"/>
      </w:pPr>
      <w:r>
        <w:rPr>
          <w:lang w:val="en-US"/>
        </w:rP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w:t>
            </w:r>
          </w:p>
        </w:tc>
        <w:tc>
          <w:tcPr/>
          <w:p>
            <w:pPr>
              <w:pStyle w:val="Compact"/>
            </w:pPr>
            <w:r>
              <w:rPr>
                <w:lang w:val="en-US"/>
              </w:rPr>
              <w:t xml:space="preserve">3-2-1 Team post + upload due; OOL discussion post due</w:t>
            </w:r>
          </w:p>
        </w:tc>
      </w:tr>
      <w:tr>
        <w:trPr>
          <w:cantSplit/>
        </w:trPr>
        <w:tc>
          <w:tcPr/>
          <w:p>
            <w:pPr>
              <w:pStyle w:val="Compact"/>
            </w:pPr>
            <w:r>
              <w:rPr>
                <w:lang w:val="en-US"/>
              </w:rPr>
              <w:t xml:space="preserve">Thursday</w:t>
            </w:r>
          </w:p>
        </w:tc>
        <w:tc>
          <w:tcPr/>
          <w:p>
            <w:pPr>
              <w:pStyle w:val="Compact"/>
            </w:pPr>
            <w:r>
              <w:rPr>
                <w:lang w:val="en-US"/>
              </w:rPr>
              <w:t xml:space="preserve">3-2-1 Team Lead Summary post due (Team Lead only, that week)</w:t>
            </w:r>
          </w:p>
        </w:tc>
      </w:tr>
      <w:tr>
        <w:trPr>
          <w:cantSplit/>
        </w:trPr>
        <w:tc>
          <w:tcPr/>
          <w:p>
            <w:pPr>
              <w:pStyle w:val="Compact"/>
            </w:pPr>
            <w:r>
              <w:rPr>
                <w:lang w:val="en-US"/>
              </w:rPr>
              <w:t xml:space="preserve">Friday</w:t>
            </w:r>
          </w:p>
        </w:tc>
        <w:tc>
          <w:tcPr/>
          <w:p>
            <w:pPr>
              <w:pStyle w:val="Compact"/>
            </w:pPr>
            <w:r>
              <w:rPr>
                <w:lang w:val="en-US"/>
              </w:rPr>
              <w:t xml:space="preserve">OOL replies due; Lab Results (20 pts),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Team post + replies to all 3 teammates + upload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4, 6, 8, and 10 (Week 10 carries both Quiz 4 and Quiz 5, since it’s the merged final content week).</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End w:id="21"/>
    <w:bookmarkStart w:id="23"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Tuesday &amp; Thursday, 12:00–2:00 PM (2 hours before the 2:00 PM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2"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2"/>
    <w:bookmarkEnd w:id="23"/>
    <w:bookmarkStart w:id="26"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2"/>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2"/>
              </w:numPr>
            </w:pPr>
            <w:r>
              <w:rPr>
                <w:b/>
                <w:bCs/>
                <w:lang w:val="en-US"/>
              </w:rPr>
              <w:t xml:space="preserve">CHEM&amp;131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2"/>
              </w:numPr>
            </w:pPr>
            <w:r>
              <w:rPr>
                <w:b/>
                <w:bCs/>
                <w:lang w:val="en-US"/>
              </w:rPr>
              <w:t xml:space="preserve">Composition Notebook</w:t>
            </w:r>
            <w:r>
              <w:rPr>
                <w:lang w:val="en-US"/>
              </w:rPr>
              <w:t xml:space="preserve">, college ruled, 7.5 x 10 in — required.</w:t>
            </w:r>
          </w:p>
          <w:p>
            <w:pPr>
              <w:pStyle w:val="Compact"/>
              <w:numPr>
                <w:ilvl w:val="0"/>
                <w:numId w:val="1002"/>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2"/>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4">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5">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6"/>
    <w:bookmarkStart w:id="32"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7"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8">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3"/>
        </w:numPr>
      </w:pPr>
      <w:r>
        <w:rPr>
          <w:b/>
          <w:bCs/>
          <w:lang w:val="en-US"/>
        </w:rPr>
        <w:t xml:space="preserve">Document ALL your work offline in Microsoft Word in your OneDrive (see Canvas).</w:t>
      </w:r>
    </w:p>
    <w:p>
      <w:pPr>
        <w:pStyle w:val="Compact"/>
        <w:numPr>
          <w:ilvl w:val="0"/>
          <w:numId w:val="1003"/>
        </w:numPr>
      </w:pPr>
      <w:r>
        <w:rPr>
          <w:b/>
          <w:bCs/>
          <w:lang w:val="en-US"/>
        </w:rPr>
        <w:t xml:space="preserve">Appropriate use of AI for any assignment in this class:</w:t>
      </w:r>
    </w:p>
    <w:p>
      <w:pPr>
        <w:pStyle w:val="Compact"/>
        <w:numPr>
          <w:ilvl w:val="1"/>
          <w:numId w:val="1004"/>
        </w:numPr>
      </w:pPr>
      <w:r>
        <w:rPr>
          <w:lang w:val="en-US"/>
        </w:rPr>
        <w:t xml:space="preserve">You are free to use spell check, grammar check, and synonym identification tools in applications (e.g., those in Microsoft Word, Google Docs, Pages, or Canvas).</w:t>
      </w:r>
    </w:p>
    <w:p>
      <w:pPr>
        <w:pStyle w:val="Compact"/>
        <w:numPr>
          <w:ilvl w:val="1"/>
          <w:numId w:val="1004"/>
        </w:numPr>
      </w:pPr>
      <w:r>
        <w:rPr>
          <w:lang w:val="en-US"/>
        </w:rPr>
        <w:t xml:space="preserve">You are free to use in-app recommendations when it comes to spelling and grammar of only sentences you have written entirely yourself first.</w:t>
      </w:r>
    </w:p>
    <w:p>
      <w:pPr>
        <w:pStyle w:val="Compact"/>
        <w:numPr>
          <w:ilvl w:val="1"/>
          <w:numId w:val="1004"/>
        </w:numPr>
      </w:pPr>
      <w:r>
        <w:rPr>
          <w:lang w:val="en-US"/>
        </w:rPr>
        <w:t xml:space="preserve">You are free to use in-app recommendations when it comes to tweaking outlines you have written entirely yourself first.</w:t>
      </w:r>
    </w:p>
    <w:p>
      <w:pPr>
        <w:pStyle w:val="Compact"/>
        <w:numPr>
          <w:ilvl w:val="0"/>
          <w:numId w:val="1003"/>
        </w:numPr>
      </w:pPr>
      <w:r>
        <w:rPr>
          <w:b/>
          <w:bCs/>
          <w:lang w:val="en-US"/>
        </w:rPr>
        <w:t xml:space="preserve">Inappropriate use of AI for any assignment in this class:</w:t>
      </w:r>
    </w:p>
    <w:p>
      <w:pPr>
        <w:pStyle w:val="Compact"/>
        <w:numPr>
          <w:ilvl w:val="1"/>
          <w:numId w:val="1005"/>
        </w:numPr>
      </w:pPr>
      <w:r>
        <w:rPr>
          <w:lang w:val="en-US"/>
        </w:rPr>
        <w:t xml:space="preserve">You cannot have an app write a draft (either rough or final) or brainstorm any assignment.</w:t>
      </w:r>
    </w:p>
    <w:p>
      <w:pPr>
        <w:pStyle w:val="Compact"/>
        <w:numPr>
          <w:ilvl w:val="1"/>
          <w:numId w:val="1005"/>
        </w:numPr>
      </w:pPr>
      <w:r>
        <w:rPr>
          <w:lang w:val="en-US"/>
        </w:rPr>
        <w:t xml:space="preserve">You cannot use any content generated from prompts given to you in assignments.</w:t>
      </w:r>
    </w:p>
    <w:p>
      <w:pPr>
        <w:pStyle w:val="Compact"/>
        <w:numPr>
          <w:ilvl w:val="1"/>
          <w:numId w:val="1005"/>
        </w:numPr>
      </w:pPr>
      <w:r>
        <w:rPr>
          <w:lang w:val="en-US"/>
        </w:rPr>
        <w:t xml:space="preserve">You cannot use sentences or paragraphs suggested by an app — not even with quotation marks and a citation.</w:t>
      </w:r>
    </w:p>
    <w:p>
      <w:pPr>
        <w:pStyle w:val="Compact"/>
        <w:numPr>
          <w:ilvl w:val="1"/>
          <w:numId w:val="1005"/>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5"/>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3"/>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6"/>
        </w:numPr>
      </w:pPr>
      <w:r>
        <w:rPr>
          <w:lang w:val="en-US"/>
        </w:rPr>
        <w:t xml:space="preserve">Be Kind, Patient, Understanding</w:t>
      </w:r>
    </w:p>
    <w:p>
      <w:pPr>
        <w:pStyle w:val="Compact"/>
        <w:numPr>
          <w:ilvl w:val="0"/>
          <w:numId w:val="1006"/>
        </w:numPr>
      </w:pPr>
      <w:r>
        <w:rPr>
          <w:lang w:val="en-US"/>
        </w:rPr>
        <w:t xml:space="preserve">Create a brave learning space</w:t>
      </w:r>
    </w:p>
    <w:p>
      <w:pPr>
        <w:pStyle w:val="Compact"/>
        <w:numPr>
          <w:ilvl w:val="0"/>
          <w:numId w:val="1006"/>
        </w:numPr>
      </w:pPr>
      <w:r>
        <w:rPr>
          <w:lang w:val="en-US"/>
        </w:rPr>
        <w:t xml:space="preserve">Learning can be tough, discomfort is welcome</w:t>
      </w:r>
    </w:p>
    <w:p>
      <w:pPr>
        <w:pStyle w:val="Compact"/>
        <w:numPr>
          <w:ilvl w:val="0"/>
          <w:numId w:val="1006"/>
        </w:numPr>
      </w:pPr>
      <w:r>
        <w:rPr>
          <w:lang w:val="en-US"/>
        </w:rPr>
        <w:t xml:space="preserve">Practice graceful learning</w:t>
      </w:r>
    </w:p>
    <w:p>
      <w:pPr>
        <w:pStyle w:val="Compact"/>
        <w:numPr>
          <w:ilvl w:val="0"/>
          <w:numId w:val="1006"/>
        </w:numPr>
      </w:pPr>
      <w:r>
        <w:rPr>
          <w:lang w:val="en-US"/>
        </w:rPr>
        <w:t xml:space="preserve">Respect each other’s perspectives</w:t>
      </w:r>
    </w:p>
    <w:p>
      <w:pPr>
        <w:pStyle w:val="Compact"/>
        <w:numPr>
          <w:ilvl w:val="0"/>
          <w:numId w:val="1006"/>
        </w:numPr>
      </w:pPr>
      <w:r>
        <w:rPr>
          <w:lang w:val="en-US"/>
        </w:rPr>
        <w:t xml:space="preserve">Make space, take space</w:t>
      </w:r>
    </w:p>
    <w:p>
      <w:pPr>
        <w:pStyle w:val="Compact"/>
        <w:numPr>
          <w:ilvl w:val="0"/>
          <w:numId w:val="1006"/>
        </w:numPr>
      </w:pPr>
      <w:r>
        <w:rPr>
          <w:lang w:val="en-US"/>
        </w:rPr>
        <w:t xml:space="preserve">Include others in the conversation</w:t>
      </w:r>
    </w:p>
    <w:p>
      <w:pPr>
        <w:pStyle w:val="Compact"/>
        <w:numPr>
          <w:ilvl w:val="0"/>
          <w:numId w:val="1006"/>
        </w:numPr>
      </w:pPr>
      <w:r>
        <w:rPr>
          <w:lang w:val="en-US"/>
        </w:rPr>
        <w:t xml:space="preserve">Stay present, but take breaks when you need them</w:t>
      </w:r>
    </w:p>
    <w:p>
      <w:pPr>
        <w:pStyle w:val="Compact"/>
        <w:numPr>
          <w:ilvl w:val="0"/>
          <w:numId w:val="1006"/>
        </w:numPr>
      </w:pPr>
      <w:r>
        <w:rPr>
          <w:lang w:val="en-US"/>
        </w:rPr>
        <w:t xml:space="preserve">Listen to understand, not speak next</w:t>
      </w:r>
    </w:p>
    <w:p>
      <w:pPr>
        <w:pStyle w:val="Compact"/>
        <w:numPr>
          <w:ilvl w:val="0"/>
          <w:numId w:val="1006"/>
        </w:numPr>
      </w:pPr>
      <w:r>
        <w:rPr>
          <w:lang w:val="en-US"/>
        </w:rPr>
        <w:t xml:space="preserve">Stories told here stay here, knowledge leaves</w:t>
      </w:r>
    </w:p>
    <w:p>
      <w:pPr>
        <w:pStyle w:val="Compact"/>
        <w:numPr>
          <w:ilvl w:val="0"/>
          <w:numId w:val="1006"/>
        </w:numPr>
      </w:pPr>
      <w:r>
        <w:rPr>
          <w:lang w:val="en-US"/>
        </w:rPr>
        <w:t xml:space="preserve">Accept reasonable boundaries and non-closure</w:t>
      </w:r>
    </w:p>
    <w:p>
      <w:pPr>
        <w:pStyle w:val="Compact"/>
        <w:numPr>
          <w:ilvl w:val="0"/>
          <w:numId w:val="1006"/>
        </w:numPr>
      </w:pPr>
      <w:r>
        <w:rPr>
          <w:lang w:val="en-US"/>
        </w:rPr>
        <w:t xml:space="preserve">If someone is struggling, offer to help</w:t>
      </w:r>
    </w:p>
    <w:p>
      <w:pPr>
        <w:pStyle w:val="Compact"/>
        <w:numPr>
          <w:ilvl w:val="0"/>
          <w:numId w:val="1006"/>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7"/>
        </w:numPr>
      </w:pPr>
      <w:r>
        <w:rPr>
          <w:lang w:val="en-US"/>
        </w:rPr>
        <w:t xml:space="preserve">Complete each week’s assignments — discussions, labs, ALEKS — by the posted due date.</w:t>
      </w:r>
    </w:p>
    <w:p>
      <w:pPr>
        <w:pStyle w:val="Compact"/>
        <w:numPr>
          <w:ilvl w:val="0"/>
          <w:numId w:val="1007"/>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7"/>
        </w:numPr>
      </w:pPr>
      <w:r>
        <w:rPr>
          <w:lang w:val="en-US"/>
        </w:rPr>
        <w:t xml:space="preserve">Be a courteous member of the team and don’t get in the way of anyone else’s learning: post and reply before the due dates, not hours or minutes before.</w:t>
      </w:r>
    </w:p>
    <w:p>
      <w:pPr>
        <w:pStyle w:val="Compact"/>
        <w:numPr>
          <w:ilvl w:val="0"/>
          <w:numId w:val="1007"/>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1"/>
    <w:bookmarkEnd w:id="32"/>
    <w:bookmarkStart w:id="33"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organic and biochemistry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8"/>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08"/>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08"/>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08"/>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08"/>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08"/>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09"/>
        </w:numPr>
      </w:pPr>
      <w:r>
        <w:rPr>
          <w:b/>
          <w:bCs/>
          <w:lang w:val="en-US"/>
        </w:rPr>
        <w:t xml:space="preserve">CLO1:</w:t>
      </w:r>
      <w:r>
        <w:rPr>
          <w:lang w:val="en-US"/>
        </w:rPr>
        <w:t xml:space="preserve"> </w:t>
      </w:r>
      <w:r>
        <w:rPr>
          <w:lang w:val="en-US"/>
        </w:rPr>
        <w:t xml:space="preserve">Apply fundamental rules of functional group reactivity, including acidity, oxidation and isomerism, to analyze chemical processes and assess their relevance to ecosystem and metabolic health.</w:t>
      </w:r>
    </w:p>
    <w:p>
      <w:pPr>
        <w:pStyle w:val="Compact"/>
        <w:numPr>
          <w:ilvl w:val="0"/>
          <w:numId w:val="1009"/>
        </w:numPr>
      </w:pPr>
      <w:r>
        <w:rPr>
          <w:b/>
          <w:bCs/>
          <w:lang w:val="en-US"/>
        </w:rPr>
        <w:t xml:space="preserve">CLO2:</w:t>
      </w:r>
      <w:r>
        <w:rPr>
          <w:lang w:val="en-US"/>
        </w:rPr>
        <w:t xml:space="preserve"> </w:t>
      </w:r>
      <w:r>
        <w:rPr>
          <w:lang w:val="en-US"/>
        </w:rP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09"/>
        </w:numPr>
      </w:pPr>
      <w:r>
        <w:rPr>
          <w:b/>
          <w:bCs/>
          <w:lang w:val="en-US"/>
        </w:rPr>
        <w:t xml:space="preserve">CLO3:</w:t>
      </w:r>
      <w:r>
        <w:rPr>
          <w:lang w:val="en-US"/>
        </w:rPr>
        <w:t xml:space="preserve"> </w:t>
      </w:r>
      <w:r>
        <w:rPr>
          <w:lang w:val="en-US"/>
        </w:rP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09"/>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3"/>
    <w:bookmarkStart w:id="40"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lecture Activities completed and uploaded, plus your engagement with your team</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4, 6, 8, and 10 — Week 10 carries both Quiz 4 and Quiz 5)</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4"/>
    <w:bookmarkStart w:id="35"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0"/>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0"/>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0"/>
        </w:numPr>
      </w:pPr>
      <w:r>
        <w:rPr>
          <w:lang w:val="en-US"/>
        </w:rPr>
        <w:t xml:space="preserve">If you miss two experiments, the second missed lab is scored zero.</w:t>
      </w:r>
    </w:p>
    <w:p>
      <w:pPr>
        <w:pStyle w:val="Compact"/>
        <w:numPr>
          <w:ilvl w:val="0"/>
          <w:numId w:val="1010"/>
        </w:numPr>
      </w:pPr>
      <w:r>
        <w:rPr>
          <w:lang w:val="en-US"/>
        </w:rPr>
        <w:t xml:space="preserve">Missing three weeks of lab, or having two incomplete labs, means you cannot pass the course.</w:t>
      </w:r>
    </w:p>
    <w:bookmarkEnd w:id="35"/>
    <w:bookmarkStart w:id="36"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93 up to 100</w:t>
            </w:r>
          </w:p>
        </w:tc>
        <w:tc>
          <w:tcPr/>
          <w:p>
            <w:pPr>
              <w:pStyle w:val="Compact"/>
              <w:jc w:val="left"/>
            </w:pPr>
            <w:r>
              <w:rPr>
                <w:lang w:val="en-US"/>
              </w:rPr>
              <w:t xml:space="preserve">A</w:t>
            </w:r>
          </w:p>
        </w:tc>
      </w:tr>
      <w:tr>
        <w:trPr>
          <w:cantSplit/>
        </w:trPr>
        <w:tc>
          <w:tcPr/>
          <w:p>
            <w:pPr>
              <w:pStyle w:val="Compact"/>
              <w:jc w:val="left"/>
            </w:pPr>
            <w:r>
              <w:rPr>
                <w:lang w:val="en-US"/>
              </w:rPr>
              <w:t xml:space="preserve">90 up to 93</w:t>
            </w:r>
          </w:p>
        </w:tc>
        <w:tc>
          <w:tcPr/>
          <w:p>
            <w:pPr>
              <w:pStyle w:val="Compact"/>
              <w:jc w:val="left"/>
            </w:pPr>
            <w:r>
              <w:rPr>
                <w:lang w:val="en-US"/>
              </w:rPr>
              <w:t xml:space="preserve">A-</w:t>
            </w:r>
          </w:p>
        </w:tc>
      </w:tr>
      <w:tr>
        <w:trPr>
          <w:cantSplit/>
        </w:trPr>
        <w:tc>
          <w:tcPr/>
          <w:p>
            <w:pPr>
              <w:pStyle w:val="Compact"/>
              <w:jc w:val="left"/>
            </w:pPr>
            <w:r>
              <w:rPr>
                <w:lang w:val="en-US"/>
              </w:rPr>
              <w:t xml:space="preserve">87 up to 90</w:t>
            </w:r>
          </w:p>
        </w:tc>
        <w:tc>
          <w:tcPr/>
          <w:p>
            <w:pPr>
              <w:pStyle w:val="Compact"/>
              <w:jc w:val="left"/>
            </w:pPr>
            <w:r>
              <w:rPr>
                <w:lang w:val="en-US"/>
              </w:rPr>
              <w:t xml:space="preserve">B+</w:t>
            </w:r>
          </w:p>
        </w:tc>
      </w:tr>
      <w:tr>
        <w:trPr>
          <w:cantSplit/>
        </w:trPr>
        <w:tc>
          <w:tcPr/>
          <w:p>
            <w:pPr>
              <w:pStyle w:val="Compact"/>
              <w:jc w:val="left"/>
            </w:pPr>
            <w:r>
              <w:rPr>
                <w:lang w:val="en-US"/>
              </w:rPr>
              <w:t xml:space="preserve">83 up to 87</w:t>
            </w:r>
          </w:p>
        </w:tc>
        <w:tc>
          <w:tcPr/>
          <w:p>
            <w:pPr>
              <w:pStyle w:val="Compact"/>
              <w:jc w:val="left"/>
            </w:pPr>
            <w:r>
              <w:rPr>
                <w:lang w:val="en-US"/>
              </w:rPr>
              <w:t xml:space="preserve">B</w:t>
            </w:r>
          </w:p>
        </w:tc>
      </w:tr>
      <w:tr>
        <w:trPr>
          <w:cantSplit/>
        </w:trPr>
        <w:tc>
          <w:tcPr/>
          <w:p>
            <w:pPr>
              <w:pStyle w:val="Compact"/>
              <w:jc w:val="left"/>
            </w:pPr>
            <w:r>
              <w:rPr>
                <w:lang w:val="en-US"/>
              </w:rPr>
              <w:t xml:space="preserve">80 up to 83</w:t>
            </w:r>
          </w:p>
        </w:tc>
        <w:tc>
          <w:tcPr/>
          <w:p>
            <w:pPr>
              <w:pStyle w:val="Compact"/>
              <w:jc w:val="left"/>
            </w:pPr>
            <w:r>
              <w:rPr>
                <w:lang w:val="en-US"/>
              </w:rPr>
              <w:t xml:space="preserve">B-</w:t>
            </w:r>
          </w:p>
        </w:tc>
      </w:tr>
      <w:tr>
        <w:trPr>
          <w:cantSplit/>
        </w:trPr>
        <w:tc>
          <w:tcPr/>
          <w:p>
            <w:pPr>
              <w:pStyle w:val="Compact"/>
              <w:jc w:val="left"/>
            </w:pPr>
            <w:r>
              <w:rPr>
                <w:lang w:val="en-US"/>
              </w:rPr>
              <w:t xml:space="preserve">77 up to 80</w:t>
            </w:r>
          </w:p>
        </w:tc>
        <w:tc>
          <w:tcPr/>
          <w:p>
            <w:pPr>
              <w:pStyle w:val="Compact"/>
              <w:jc w:val="left"/>
            </w:pPr>
            <w:r>
              <w:rPr>
                <w:lang w:val="en-US"/>
              </w:rPr>
              <w:t xml:space="preserve">C+</w:t>
            </w:r>
          </w:p>
        </w:tc>
      </w:tr>
      <w:tr>
        <w:trPr>
          <w:cantSplit/>
        </w:trPr>
        <w:tc>
          <w:tcPr/>
          <w:p>
            <w:pPr>
              <w:pStyle w:val="Compact"/>
              <w:jc w:val="left"/>
            </w:pPr>
            <w:r>
              <w:rPr>
                <w:lang w:val="en-US"/>
              </w:rPr>
              <w:t xml:space="preserve">73 up to 77</w:t>
            </w:r>
          </w:p>
        </w:tc>
        <w:tc>
          <w:tcPr/>
          <w:p>
            <w:pPr>
              <w:pStyle w:val="Compact"/>
              <w:jc w:val="left"/>
            </w:pPr>
            <w:r>
              <w:rPr>
                <w:lang w:val="en-US"/>
              </w:rPr>
              <w:t xml:space="preserve">C</w:t>
            </w:r>
          </w:p>
        </w:tc>
      </w:tr>
      <w:tr>
        <w:trPr>
          <w:cantSplit/>
        </w:trPr>
        <w:tc>
          <w:tcPr/>
          <w:p>
            <w:pPr>
              <w:pStyle w:val="Compact"/>
              <w:jc w:val="left"/>
            </w:pPr>
            <w:r>
              <w:rPr>
                <w:lang w:val="en-US"/>
              </w:rPr>
              <w:t xml:space="preserve">60 up to 73</w:t>
            </w:r>
          </w:p>
        </w:tc>
        <w:tc>
          <w:tcPr/>
          <w:p>
            <w:pPr>
              <w:pStyle w:val="Compact"/>
              <w:jc w:val="left"/>
            </w:pPr>
            <w:r>
              <w:rPr>
                <w:lang w:val="en-US"/>
              </w:rPr>
              <w:t xml:space="preserve">D</w:t>
            </w:r>
          </w:p>
        </w:tc>
      </w:tr>
      <w:tr>
        <w:trPr>
          <w:cantSplit/>
        </w:trPr>
        <w:tc>
          <w:tcPr/>
          <w:p>
            <w:pPr>
              <w:pStyle w:val="Compact"/>
              <w:jc w:val="left"/>
            </w:pPr>
            <w:r>
              <w:rPr>
                <w:lang w:val="en-US"/>
              </w:rPr>
              <w:t xml:space="preserve">0 up to 60</w:t>
            </w:r>
          </w:p>
        </w:tc>
        <w:tc>
          <w:tcPr/>
          <w:p>
            <w:pPr>
              <w:pStyle w:val="Compact"/>
              <w:jc w:val="left"/>
            </w:pPr>
            <w:r>
              <w:rPr>
                <w:lang w:val="en-US"/>
              </w:rPr>
              <w:t xml:space="preserve">F</w:t>
            </w:r>
          </w:p>
        </w:tc>
      </w:tr>
    </w:tbl>
    <w:bookmarkEnd w:id="36"/>
    <w:bookmarkStart w:id="37"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1"/>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1"/>
        </w:numPr>
      </w:pPr>
      <w:r>
        <w:rPr>
          <w:lang w:val="en-US"/>
        </w:rPr>
        <w:t xml:space="preserve">In-person lab attendance and the Final TYC Project have no grace period.</w:t>
      </w:r>
    </w:p>
    <w:p>
      <w:pPr>
        <w:pStyle w:val="Compact"/>
        <w:numPr>
          <w:ilvl w:val="0"/>
          <w:numId w:val="1011"/>
        </w:numPr>
      </w:pPr>
      <w:r>
        <w:rPr>
          <w:lang w:val="en-US"/>
        </w:rPr>
        <w:t xml:space="preserve">No due dates extend beyond the course end date.</w:t>
      </w:r>
    </w:p>
    <w:p>
      <w:pPr>
        <w:pStyle w:val="Compact"/>
        <w:numPr>
          <w:ilvl w:val="0"/>
          <w:numId w:val="1011"/>
        </w:numPr>
      </w:pPr>
      <w:r>
        <w:rPr>
          <w:lang w:val="en-US"/>
        </w:rPr>
        <w:t xml:space="preserve">If something requiring a prolonged absence occurs, contact me via Canvas Inbox and let’s see what solutions are possible.</w:t>
      </w:r>
    </w:p>
    <w:bookmarkEnd w:id="37"/>
    <w:bookmarkStart w:id="38"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8"/>
    <w:bookmarkStart w:id="39"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6"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1">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2">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3">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4">
              <w:r>
                <w:rPr>
                  <w:rStyle w:val="Hyperlink"/>
                  <w:lang w:val="en-US"/>
                </w:rPr>
                <w:t xml:space="preserve">Canvas Guides</w:t>
              </w:r>
            </w:hyperlink>
            <w:r>
              <w:rPr>
                <w:lang w:val="en-US"/>
              </w:rPr>
              <w:t xml:space="preserve"> </w:t>
            </w:r>
            <w:r>
              <w:rPr>
                <w:lang w:val="en-US"/>
              </w:rPr>
              <w:t xml:space="preserve">·</w:t>
            </w:r>
            <w:r>
              <w:rPr>
                <w:lang w:val="en-US"/>
              </w:rPr>
              <w:t xml:space="preserve"> </w:t>
            </w:r>
            <w:hyperlink r:id="rId45">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7">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8">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49">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0">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1">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2">
              <w:r>
                <w:rPr>
                  <w:rStyle w:val="Hyperlink"/>
                  <w:lang w:val="en-US"/>
                </w:rPr>
                <w:t xml:space="preserve">chat</w:t>
              </w:r>
            </w:hyperlink>
            <w:r>
              <w:rPr>
                <w:lang w:val="en-US"/>
              </w:rPr>
              <w:t xml:space="preserve">.</w:t>
            </w:r>
          </w:p>
        </w:tc>
      </w:tr>
    </w:tbl>
    <w:bookmarkEnd w:id="53"/>
    <w:bookmarkStart w:id="71"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4">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5">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6">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7">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8">
              <w:r>
                <w:rPr>
                  <w:rStyle w:val="Hyperlink"/>
                  <w:lang w:val="en-US"/>
                </w:rPr>
                <w:t xml:space="preserve">cbusha@clark.edu</w:t>
              </w:r>
            </w:hyperlink>
            <w:r>
              <w:rPr>
                <w:lang w:val="en-US"/>
              </w:rPr>
              <w:t xml:space="preserve">).</w:t>
            </w:r>
          </w:p>
        </w:tc>
      </w:tr>
      <w:tr>
        <w:trPr>
          <w:cantSplit/>
        </w:trPr>
        <w:tc>
          <w:tcPr/>
          <w:p>
            <w:pPr>
              <w:pStyle w:val="Compact"/>
            </w:pPr>
            <w:hyperlink r:id="rId59">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0">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1">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2">
              <w:r>
                <w:rPr>
                  <w:rStyle w:val="Hyperlink"/>
                  <w:lang w:val="en-US"/>
                </w:rPr>
                <w:t xml:space="preserve">schedule an appointment</w:t>
              </w:r>
            </w:hyperlink>
            <w:r>
              <w:rPr>
                <w:lang w:val="en-US"/>
              </w:rPr>
              <w:t xml:space="preserve">.</w:t>
            </w:r>
          </w:p>
        </w:tc>
      </w:tr>
      <w:tr>
        <w:trPr>
          <w:cantSplit/>
        </w:trPr>
        <w:tc>
          <w:tcPr/>
          <w:p>
            <w:pPr>
              <w:pStyle w:val="Compact"/>
            </w:pPr>
            <w:hyperlink r:id="rId63">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4">
              <w:r>
                <w:rPr>
                  <w:rStyle w:val="Hyperlink"/>
                  <w:lang w:val="en-US"/>
                </w:rPr>
                <w:t xml:space="preserve">careerservices@clark.edu</w:t>
              </w:r>
            </w:hyperlink>
          </w:p>
        </w:tc>
      </w:tr>
      <w:tr>
        <w:trPr>
          <w:cantSplit/>
        </w:trPr>
        <w:tc>
          <w:tcPr/>
          <w:p>
            <w:pPr>
              <w:pStyle w:val="Compact"/>
            </w:pPr>
            <w:hyperlink r:id="rId65">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6">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7">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5">
        <w:r>
          <w:rPr>
            <w:rStyle w:val="Hyperlink"/>
            <w:lang w:val="en-US"/>
          </w:rPr>
          <w:t xml:space="preserve">Clark bookstore</w:t>
        </w:r>
      </w:hyperlink>
      <w:r>
        <w:rPr>
          <w:lang w:val="en-US"/>
        </w:rPr>
        <w:t xml:space="preserve">,</w:t>
      </w:r>
      <w:r>
        <w:rPr>
          <w:lang w:val="en-US"/>
        </w:rPr>
        <w:t xml:space="preserve"> </w:t>
      </w:r>
      <w:hyperlink r:id="rId68">
        <w:r>
          <w:rPr>
            <w:rStyle w:val="Hyperlink"/>
            <w:lang w:val="en-US"/>
          </w:rPr>
          <w:t xml:space="preserve">C-Tran</w:t>
        </w:r>
      </w:hyperlink>
      <w:r>
        <w:rPr>
          <w:lang w:val="en-US"/>
        </w:rPr>
        <w:t xml:space="preserve">,</w:t>
      </w:r>
      <w:r>
        <w:rPr>
          <w:lang w:val="en-US"/>
        </w:rPr>
        <w:t xml:space="preserve"> </w:t>
      </w:r>
      <w:hyperlink r:id="rId69">
        <w:r>
          <w:rPr>
            <w:rStyle w:val="Hyperlink"/>
            <w:lang w:val="en-US"/>
          </w:rPr>
          <w:t xml:space="preserve">campus maps</w:t>
        </w:r>
      </w:hyperlink>
      <w:r>
        <w:rPr>
          <w:lang w:val="en-US"/>
        </w:rPr>
        <w:t xml:space="preserve">, and campus life and activities at the</w:t>
      </w:r>
      <w:r>
        <w:rPr>
          <w:lang w:val="en-US"/>
        </w:rPr>
        <w:t xml:space="preserve"> </w:t>
      </w:r>
      <w:hyperlink r:id="rId70">
        <w:r>
          <w:rPr>
            <w:rStyle w:val="Hyperlink"/>
            <w:lang w:val="en-US"/>
          </w:rPr>
          <w:t xml:space="preserve">Clark Students website</w:t>
        </w:r>
      </w:hyperlink>
      <w:r>
        <w:rPr>
          <w:lang w:val="en-US"/>
        </w:rPr>
        <w:t xml:space="preserve">.</w:t>
      </w:r>
    </w:p>
    <w:bookmarkEnd w:id="71"/>
    <w:bookmarkEnd w:id="72"/>
    <w:bookmarkStart w:id="73"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3"/>
    <w:bookmarkStart w:id="75"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2"/>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2"/>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2"/>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2"/>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4">
        <w:r>
          <w:rPr>
            <w:rStyle w:val="Hyperlink"/>
            <w:lang w:val="en-US"/>
          </w:rPr>
          <w:t xml:space="preserve">Clark College Policies Canvas course</w:t>
        </w:r>
      </w:hyperlink>
      <w:r>
        <w:rPr>
          <w:lang w:val="en-US"/>
        </w:rPr>
        <w:t xml:space="preserve">.</w:t>
      </w:r>
    </w:p>
    <w:p>
      <w:r>
        <w:br w:type="page"/>
      </w:r>
    </w:p>
    <w:bookmarkEnd w:id="75"/>
    <w:bookmarkStart w:id="122"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81" w:name="Xdaaed74c0d414a35cd9746056776c1018f544e9"/>
    <w:p>
      <w:pPr>
        <w:pStyle w:val="Heading2"/>
      </w:pPr>
      <w:r>
        <w:rPr>
          <w:lang w:val="en-US"/>
        </w:rPr>
        <w:t xml:space="preserve">Week 1: Introduction to Organic Molecules and Alkanes</w:t>
      </w:r>
    </w:p>
    <w:p>
      <w:pPr>
        <w:pStyle w:val="FirstParagraph"/>
      </w:pPr>
      <w:r>
        <w:rPr>
          <w:b/>
          <w:bCs/>
          <w:lang w:val="en-US"/>
        </w:rPr>
        <w:t xml:space="preserve">What this week covers:</w:t>
      </w:r>
    </w:p>
    <w:p>
      <w:pPr>
        <w:pStyle w:val="Compact"/>
        <w:numPr>
          <w:ilvl w:val="0"/>
          <w:numId w:val="1013"/>
        </w:numPr>
      </w:pPr>
      <w:r>
        <w:rPr>
          <w:lang w:val="en-US"/>
        </w:rPr>
        <w:t xml:space="preserve">Characteristic features of organic compounds; drawing organic molecules</w:t>
      </w:r>
    </w:p>
    <w:p>
      <w:pPr>
        <w:pStyle w:val="Compact"/>
        <w:numPr>
          <w:ilvl w:val="0"/>
          <w:numId w:val="1013"/>
        </w:numPr>
      </w:pPr>
      <w:r>
        <w:rPr>
          <w:lang w:val="en-US"/>
        </w:rPr>
        <w:t xml:space="preserve">Functional groups; alkanes and alkane nomenclature; cycloalkanes</w:t>
      </w:r>
    </w:p>
    <w:p>
      <w:pPr>
        <w:pStyle w:val="Compact"/>
        <w:numPr>
          <w:ilvl w:val="0"/>
          <w:numId w:val="1013"/>
        </w:numPr>
      </w:pPr>
      <w:r>
        <w:rPr>
          <w:lang w:val="en-US"/>
        </w:rPr>
        <w:t xml:space="preserve">Fossil fuels, physical properties, and combustion of hydrocarbons</w:t>
      </w:r>
    </w:p>
    <w:p>
      <w:pPr>
        <w:pStyle w:val="Compact"/>
        <w:numPr>
          <w:ilvl w:val="0"/>
          <w:numId w:val="1013"/>
        </w:numPr>
      </w:pPr>
      <w:r>
        <w:rPr>
          <w:lang w:val="en-US"/>
        </w:rPr>
        <w:t xml:space="preserve">Lab: Safety orientation; scavenger hunt covering compounds, shapes, and IMFs</w:t>
      </w:r>
    </w:p>
    <w:p>
      <w:pPr>
        <w:pStyle w:val="Compact"/>
        <w:numPr>
          <w:ilvl w:val="0"/>
          <w:numId w:val="1013"/>
        </w:numPr>
      </w:pPr>
      <w:r>
        <w:rPr>
          <w:lang w:val="en-US"/>
        </w:rPr>
        <w:t xml:space="preserve">Required Reading: Smith Ch. 10 (10.1–10.10)</w:t>
      </w:r>
    </w:p>
    <w:p>
      <w:pPr>
        <w:pStyle w:val="Compact"/>
        <w:numPr>
          <w:ilvl w:val="0"/>
          <w:numId w:val="1013"/>
        </w:numPr>
      </w:pPr>
      <w:r>
        <w:rPr>
          <w:lang w:val="en-US"/>
        </w:rPr>
        <w:t xml:space="preserve">Naming guide:</w:t>
      </w:r>
      <w:r>
        <w:rPr>
          <w:lang w:val="en-US"/>
        </w:rPr>
        <w:t xml:space="preserve"> </w:t>
      </w:r>
      <w:hyperlink r:id="rId76">
        <w:r>
          <w:rPr>
            <w:rStyle w:val="Hyperlink"/>
            <w:lang w:val="en-US"/>
          </w:rPr>
          <w:t xml:space="preserve">How a Name Is Built</w:t>
        </w:r>
      </w:hyperlink>
      <w:r>
        <w:rPr>
          <w:lang w:val="en-US"/>
        </w:rPr>
        <w:t xml:space="preserve">,</w:t>
      </w:r>
      <w:r>
        <w:rPr>
          <w:lang w:val="en-US"/>
        </w:rPr>
        <w:t xml:space="preserve"> </w:t>
      </w:r>
      <w:hyperlink r:id="rId77">
        <w:r>
          <w:rPr>
            <w:rStyle w:val="Hyperlink"/>
            <w:lang w:val="en-US"/>
          </w:rPr>
          <w:t xml:space="preserve">Alkanes and Cycloalkanes</w:t>
        </w:r>
      </w:hyperlink>
    </w:p>
    <w:p>
      <w:pPr>
        <w:pStyle w:val="Compact"/>
        <w:numPr>
          <w:ilvl w:val="0"/>
          <w:numId w:val="1013"/>
        </w:numPr>
      </w:pPr>
      <w:r>
        <w:rPr>
          <w:lang w:val="en-US"/>
        </w:rPr>
        <w:t xml:space="preserve">Structure guide for lab workbook Appendices 1–3:</w:t>
      </w:r>
      <w:r>
        <w:rPr>
          <w:lang w:val="en-US"/>
        </w:rPr>
        <w:t xml:space="preserve"> </w:t>
      </w:r>
      <w:hyperlink r:id="rId78">
        <w:r>
          <w:rPr>
            <w:rStyle w:val="Hyperlink"/>
            <w:lang w:val="en-US"/>
          </w:rPr>
          <w:t xml:space="preserve">Molecular Shapes</w:t>
        </w:r>
      </w:hyperlink>
      <w:r>
        <w:rPr>
          <w:lang w:val="en-US"/>
        </w:rPr>
        <w:t xml:space="preserve">,</w:t>
      </w:r>
      <w:r>
        <w:rPr>
          <w:lang w:val="en-US"/>
        </w:rPr>
        <w:t xml:space="preserve"> </w:t>
      </w:r>
      <w:hyperlink r:id="rId79">
        <w:r>
          <w:rPr>
            <w:rStyle w:val="Hyperlink"/>
            <w:lang w:val="en-US"/>
          </w:rPr>
          <w:t xml:space="preserve">Molecular Polarity</w:t>
        </w:r>
      </w:hyperlink>
      <w:r>
        <w:rPr>
          <w:lang w:val="en-US"/>
        </w:rPr>
        <w:t xml:space="preserve">,</w:t>
      </w:r>
      <w:r>
        <w:rPr>
          <w:lang w:val="en-US"/>
        </w:rPr>
        <w:t xml:space="preserve"> </w:t>
      </w:r>
      <w:hyperlink r:id="rId80">
        <w:r>
          <w:rPr>
            <w:rStyle w:val="Hyperlink"/>
            <w:lang w:val="en-US"/>
          </w:rPr>
          <w:t xml:space="preserve">Solubility of Organic Compounds</w:t>
        </w:r>
      </w:hyperlink>
    </w:p>
    <w:p>
      <w:pPr>
        <w:pStyle w:val="Heading3"/>
      </w:pPr>
      <w:r>
        <w:rPr>
          <w:lang w:val="en-US"/>
        </w:rPr>
        <w:t xml:space="preserve">Weekly logistics</w:t>
      </w:r>
    </w:p>
    <w:p>
      <w:pPr>
        <w:pStyle w:val="Compact"/>
        <w:numPr>
          <w:ilvl w:val="0"/>
          <w:numId w:val="1014"/>
        </w:numPr>
      </w:pPr>
      <w:r>
        <w:rPr>
          <w:lang w:val="en-US"/>
        </w:rPr>
        <w:t xml:space="preserve">Activity: A21 (10.1–10.6)</w:t>
      </w:r>
    </w:p>
    <w:p>
      <w:pPr>
        <w:pStyle w:val="Compact"/>
        <w:numPr>
          <w:ilvl w:val="0"/>
          <w:numId w:val="1014"/>
        </w:numPr>
      </w:pPr>
      <w:r>
        <w:rPr>
          <w:lang w:val="en-US"/>
        </w:rPr>
        <w:t xml:space="preserve">Activity: A22 (10.4–10.10)</w:t>
      </w:r>
    </w:p>
    <w:bookmarkEnd w:id="81"/>
    <w:bookmarkStart w:id="84" w:name="X1e70d91167011e1860d80c2b4390e709bc13595"/>
    <w:p>
      <w:pPr>
        <w:pStyle w:val="Heading2"/>
      </w:pPr>
      <w:r>
        <w:rPr>
          <w:lang w:val="en-US"/>
        </w:rPr>
        <w:t xml:space="preserve">Week 2: Alkenes, Alkynes, Aromatics, and Isomers</w:t>
      </w:r>
    </w:p>
    <w:p>
      <w:pPr>
        <w:pStyle w:val="FirstParagraph"/>
      </w:pPr>
      <w:r>
        <w:rPr>
          <w:b/>
          <w:bCs/>
          <w:lang w:val="en-US"/>
        </w:rPr>
        <w:t xml:space="preserve">What this week covers:</w:t>
      </w:r>
    </w:p>
    <w:p>
      <w:pPr>
        <w:pStyle w:val="Compact"/>
        <w:numPr>
          <w:ilvl w:val="0"/>
          <w:numId w:val="1015"/>
        </w:numPr>
      </w:pPr>
      <w:r>
        <w:rPr>
          <w:lang w:val="en-US"/>
        </w:rPr>
        <w:t xml:space="preserve">Alkenes and alkynes; their nomenclature</w:t>
      </w:r>
    </w:p>
    <w:p>
      <w:pPr>
        <w:pStyle w:val="Compact"/>
        <w:numPr>
          <w:ilvl w:val="0"/>
          <w:numId w:val="1015"/>
        </w:numPr>
      </w:pPr>
      <w:r>
        <w:rPr>
          <w:lang w:val="en-US"/>
        </w:rPr>
        <w:t xml:space="preserve">Aromatic compounds; nomenclature of benzene derivatives; sunscreens and antioxidants</w:t>
      </w:r>
    </w:p>
    <w:p>
      <w:pPr>
        <w:pStyle w:val="Compact"/>
        <w:numPr>
          <w:ilvl w:val="0"/>
          <w:numId w:val="1015"/>
        </w:numPr>
      </w:pPr>
      <w:r>
        <w:rPr>
          <w:lang w:val="en-US"/>
        </w:rPr>
        <w:t xml:space="preserve">Constitutional and cis-trans (geometric) isomers; alkane/cycloalkane</w:t>
      </w:r>
      <w:r>
        <w:rPr>
          <w:lang w:val="en-US"/>
        </w:rPr>
        <w:t xml:space="preserve"> </w:t>
      </w:r>
      <w:r>
        <w:rPr>
          <w:lang w:val="en-US"/>
        </w:rPr>
        <w:t xml:space="preserve">naming revisited</w:t>
      </w:r>
    </w:p>
    <w:p>
      <w:pPr>
        <w:pStyle w:val="Compact"/>
        <w:numPr>
          <w:ilvl w:val="0"/>
          <w:numId w:val="1015"/>
        </w:numPr>
      </w:pPr>
      <w:r>
        <w:rPr>
          <w:lang w:val="en-US"/>
        </w:rPr>
        <w:t xml:space="preserve">Lab: Solubility and Oil Spills</w:t>
      </w:r>
    </w:p>
    <w:p>
      <w:pPr>
        <w:pStyle w:val="Compact"/>
        <w:numPr>
          <w:ilvl w:val="0"/>
          <w:numId w:val="1015"/>
        </w:numPr>
      </w:pPr>
      <w:r>
        <w:rPr>
          <w:lang w:val="en-US"/>
        </w:rPr>
        <w:t xml:space="preserve">Required Reading: Smith Ch. 11 (11.1–11.2, 11.3–11.4, 11.8–11.10), Ch. 10 (10.5–10.8)</w:t>
      </w:r>
    </w:p>
    <w:p>
      <w:pPr>
        <w:pStyle w:val="Compact"/>
        <w:numPr>
          <w:ilvl w:val="0"/>
          <w:numId w:val="1015"/>
        </w:numPr>
      </w:pPr>
      <w:r>
        <w:rPr>
          <w:lang w:val="en-US"/>
        </w:rPr>
        <w:t xml:space="preserve">Naming guide:</w:t>
      </w:r>
      <w:r>
        <w:rPr>
          <w:lang w:val="en-US"/>
        </w:rPr>
        <w:t xml:space="preserve"> </w:t>
      </w:r>
      <w:hyperlink r:id="rId82">
        <w:r>
          <w:rPr>
            <w:rStyle w:val="Hyperlink"/>
            <w:lang w:val="en-US"/>
          </w:rPr>
          <w:t xml:space="preserve">Alkenes, Alkynes, and Cis/Trans</w:t>
        </w:r>
      </w:hyperlink>
      <w:r>
        <w:rPr>
          <w:lang w:val="en-US"/>
        </w:rPr>
        <w:t xml:space="preserve">,</w:t>
      </w:r>
      <w:r>
        <w:rPr>
          <w:lang w:val="en-US"/>
        </w:rPr>
        <w:t xml:space="preserve"> </w:t>
      </w:r>
      <w:hyperlink r:id="rId83">
        <w:r>
          <w:rPr>
            <w:rStyle w:val="Hyperlink"/>
            <w:lang w:val="en-US"/>
          </w:rPr>
          <w:t xml:space="preserve">Aromatic Compounds</w:t>
        </w:r>
      </w:hyperlink>
    </w:p>
    <w:p>
      <w:pPr>
        <w:pStyle w:val="Heading3"/>
      </w:pPr>
      <w:r>
        <w:rPr>
          <w:lang w:val="en-US"/>
        </w:rPr>
        <w:t xml:space="preserve">Weekly logistics</w:t>
      </w:r>
    </w:p>
    <w:p>
      <w:pPr>
        <w:pStyle w:val="Compact"/>
        <w:numPr>
          <w:ilvl w:val="0"/>
          <w:numId w:val="1016"/>
        </w:numPr>
      </w:pPr>
      <w:r>
        <w:rPr>
          <w:lang w:val="en-US"/>
        </w:rPr>
        <w:t xml:space="preserve">Activity: A23 (11.1–11.2, 11.8–11.10)</w:t>
      </w:r>
    </w:p>
    <w:p>
      <w:pPr>
        <w:pStyle w:val="Compact"/>
        <w:numPr>
          <w:ilvl w:val="0"/>
          <w:numId w:val="1016"/>
        </w:numPr>
      </w:pPr>
      <w:r>
        <w:rPr>
          <w:lang w:val="en-US"/>
        </w:rPr>
        <w:t xml:space="preserve">Activity: A24 (10.5–10.8, 11.3–11.4)</w:t>
      </w:r>
    </w:p>
    <w:p>
      <w:pPr>
        <w:pStyle w:val="Compact"/>
        <w:numPr>
          <w:ilvl w:val="0"/>
          <w:numId w:val="1016"/>
        </w:numPr>
      </w:pPr>
      <w:r>
        <w:rPr>
          <w:lang w:val="en-US"/>
        </w:rPr>
        <w:t xml:space="preserve">Writing Workshop 1</w:t>
      </w:r>
    </w:p>
    <w:bookmarkEnd w:id="84"/>
    <w:bookmarkStart w:id="89" w:name="X20dc6ba286218aec3921324f5e7b476a292a6c0"/>
    <w:p>
      <w:pPr>
        <w:pStyle w:val="Heading2"/>
      </w:pPr>
      <w:r>
        <w:rPr>
          <w:lang w:val="en-US"/>
        </w:rPr>
        <w:t xml:space="preserve">Week 3: Alkene Reactions, Polymers, and Alcohols</w:t>
      </w:r>
    </w:p>
    <w:p>
      <w:pPr>
        <w:pStyle w:val="FirstParagraph"/>
      </w:pPr>
      <w:r>
        <w:rPr>
          <w:b/>
          <w:bCs/>
          <w:lang w:val="en-US"/>
        </w:rPr>
        <w:t xml:space="preserve">What this week covers:</w:t>
      </w:r>
    </w:p>
    <w:p>
      <w:pPr>
        <w:pStyle w:val="Compact"/>
        <w:numPr>
          <w:ilvl w:val="0"/>
          <w:numId w:val="1017"/>
        </w:numPr>
      </w:pPr>
      <w:r>
        <w:rPr>
          <w:lang w:val="en-US"/>
        </w:rPr>
        <w:t xml:space="preserve">Reactions of alkenes; polymers; margarine vs. butter</w:t>
      </w:r>
    </w:p>
    <w:p>
      <w:pPr>
        <w:pStyle w:val="Compact"/>
        <w:numPr>
          <w:ilvl w:val="0"/>
          <w:numId w:val="1017"/>
        </w:numPr>
      </w:pPr>
      <w:r>
        <w:rPr>
          <w:lang w:val="en-US"/>
        </w:rPr>
        <w:t xml:space="preserve">Alcohols and ethers — structure, properties, and reactions; alkyl</w:t>
      </w:r>
      <w:r>
        <w:rPr>
          <w:lang w:val="en-US"/>
        </w:rPr>
        <w:t xml:space="preserve"> </w:t>
      </w:r>
      <w:r>
        <w:rPr>
          <w:lang w:val="en-US"/>
        </w:rPr>
        <w:t xml:space="preserve">halides; thiols</w:t>
      </w:r>
    </w:p>
    <w:p>
      <w:pPr>
        <w:pStyle w:val="Compact"/>
        <w:numPr>
          <w:ilvl w:val="0"/>
          <w:numId w:val="1017"/>
        </w:numPr>
      </w:pPr>
      <w:r>
        <w:rPr>
          <w:lang w:val="en-US"/>
        </w:rPr>
        <w:t xml:space="preserve">Lab: Plastics and Nurdles</w:t>
      </w:r>
    </w:p>
    <w:p>
      <w:pPr>
        <w:pStyle w:val="Compact"/>
        <w:numPr>
          <w:ilvl w:val="0"/>
          <w:numId w:val="1017"/>
        </w:numPr>
      </w:pPr>
      <w:r>
        <w:rPr>
          <w:lang w:val="en-US"/>
        </w:rPr>
        <w:t xml:space="preserve">Library Visit 1</w:t>
      </w:r>
    </w:p>
    <w:p>
      <w:pPr>
        <w:pStyle w:val="Compact"/>
        <w:numPr>
          <w:ilvl w:val="0"/>
          <w:numId w:val="1017"/>
        </w:numPr>
      </w:pPr>
      <w:r>
        <w:rPr>
          <w:lang w:val="en-US"/>
        </w:rPr>
        <w:t xml:space="preserve">Required Reading: Smith Ch. 11 (11.5–11.7), Ch. 12 (12.1–12.7)</w:t>
      </w:r>
    </w:p>
    <w:p>
      <w:pPr>
        <w:pStyle w:val="Compact"/>
        <w:numPr>
          <w:ilvl w:val="0"/>
          <w:numId w:val="1017"/>
        </w:numPr>
      </w:pPr>
      <w:r>
        <w:rPr>
          <w:lang w:val="en-US"/>
        </w:rPr>
        <w:t xml:space="preserve">Naming guide:</w:t>
      </w:r>
      <w:r>
        <w:rPr>
          <w:lang w:val="en-US"/>
        </w:rPr>
        <w:t xml:space="preserve"> </w:t>
      </w:r>
      <w:hyperlink r:id="rId85">
        <w:r>
          <w:rPr>
            <w:rStyle w:val="Hyperlink"/>
            <w:lang w:val="en-US"/>
          </w:rPr>
          <w:t xml:space="preserve">Alcohols, Ethers, Halides, Nitro Compounds, and Thiols</w:t>
        </w:r>
      </w:hyperlink>
    </w:p>
    <w:p>
      <w:pPr>
        <w:pStyle w:val="Compact"/>
        <w:numPr>
          <w:ilvl w:val="0"/>
          <w:numId w:val="1017"/>
        </w:numPr>
      </w:pPr>
      <w:r>
        <w:rPr>
          <w:lang w:val="en-US"/>
        </w:rPr>
        <w:t xml:space="preserve">Reactions guide:</w:t>
      </w:r>
      <w:r>
        <w:rPr>
          <w:lang w:val="en-US"/>
        </w:rPr>
        <w:t xml:space="preserve"> </w:t>
      </w:r>
      <w:hyperlink r:id="rId86">
        <w:r>
          <w:rPr>
            <w:rStyle w:val="Hyperlink"/>
            <w:lang w:val="en-US"/>
          </w:rPr>
          <w:t xml:space="preserve">Identify the Reaction Type</w:t>
        </w:r>
      </w:hyperlink>
      <w:r>
        <w:rPr>
          <w:lang w:val="en-US"/>
        </w:rPr>
        <w:t xml:space="preserve">,</w:t>
      </w:r>
      <w:r>
        <w:rPr>
          <w:lang w:val="en-US"/>
        </w:rPr>
        <w:t xml:space="preserve"> </w:t>
      </w:r>
      <w:hyperlink r:id="rId87">
        <w:r>
          <w:rPr>
            <w:rStyle w:val="Hyperlink"/>
            <w:lang w:val="en-US"/>
          </w:rPr>
          <w:t xml:space="preserve">Addition and Elimination</w:t>
        </w:r>
      </w:hyperlink>
      <w:r>
        <w:rPr>
          <w:lang w:val="en-US"/>
        </w:rPr>
        <w:t xml:space="preserve">,</w:t>
      </w:r>
      <w:r>
        <w:rPr>
          <w:lang w:val="en-US"/>
        </w:rPr>
        <w:t xml:space="preserve"> </w:t>
      </w:r>
      <w:hyperlink r:id="rId88">
        <w:r>
          <w:rPr>
            <w:rStyle w:val="Hyperlink"/>
            <w:lang w:val="en-US"/>
          </w:rPr>
          <w:t xml:space="preserve">Oxidizing Alcohols</w:t>
        </w:r>
      </w:hyperlink>
    </w:p>
    <w:p>
      <w:pPr>
        <w:pStyle w:val="Heading3"/>
      </w:pPr>
      <w:r>
        <w:rPr>
          <w:lang w:val="en-US"/>
        </w:rPr>
        <w:t xml:space="preserve">Weekly logistics</w:t>
      </w:r>
    </w:p>
    <w:p>
      <w:pPr>
        <w:pStyle w:val="Compact"/>
        <w:numPr>
          <w:ilvl w:val="0"/>
          <w:numId w:val="1018"/>
        </w:numPr>
      </w:pPr>
      <w:r>
        <w:rPr>
          <w:lang w:val="en-US"/>
        </w:rPr>
        <w:t xml:space="preserve">Activity: A25 (11.5–11.7)</w:t>
      </w:r>
    </w:p>
    <w:p>
      <w:pPr>
        <w:pStyle w:val="Compact"/>
        <w:numPr>
          <w:ilvl w:val="0"/>
          <w:numId w:val="1018"/>
        </w:numPr>
      </w:pPr>
      <w:r>
        <w:rPr>
          <w:lang w:val="en-US"/>
        </w:rPr>
        <w:t xml:space="preserve">Activity: A26 (12.1–12.7)</w:t>
      </w:r>
    </w:p>
    <w:bookmarkEnd w:id="89"/>
    <w:bookmarkStart w:id="96" w:name="X095590b2de9a31c48ec0b656737f0f47798712c"/>
    <w:p>
      <w:pPr>
        <w:pStyle w:val="Heading2"/>
      </w:pPr>
      <w:r>
        <w:rPr>
          <w:lang w:val="en-US"/>
        </w:rPr>
        <w:t xml:space="preserve">Week 4: Oxygenated Compounds and Carboxylic Acids</w:t>
      </w:r>
    </w:p>
    <w:p>
      <w:pPr>
        <w:pStyle w:val="FirstParagraph"/>
      </w:pPr>
      <w:r>
        <w:rPr>
          <w:b/>
          <w:bCs/>
          <w:lang w:val="en-US"/>
        </w:rPr>
        <w:t xml:space="preserve">What this week covers:</w:t>
      </w:r>
    </w:p>
    <w:p>
      <w:pPr>
        <w:pStyle w:val="Compact"/>
        <w:numPr>
          <w:ilvl w:val="0"/>
          <w:numId w:val="1019"/>
        </w:numPr>
      </w:pPr>
      <w:r>
        <w:rPr>
          <w:lang w:val="en-US"/>
        </w:rPr>
        <w:t xml:space="preserve">Aldehydes and ketones; oxidation of aldehydes; chirality (Looking</w:t>
      </w:r>
      <w:r>
        <w:rPr>
          <w:lang w:val="en-US"/>
        </w:rPr>
        <w:t xml:space="preserve"> </w:t>
      </w:r>
      <w:r>
        <w:rPr>
          <w:lang w:val="en-US"/>
        </w:rPr>
        <w:t xml:space="preserve">Glass Chemistry); chiral drugs</w:t>
      </w:r>
    </w:p>
    <w:p>
      <w:pPr>
        <w:pStyle w:val="Compact"/>
        <w:numPr>
          <w:ilvl w:val="0"/>
          <w:numId w:val="1019"/>
        </w:numPr>
      </w:pPr>
      <w:r>
        <w:rPr>
          <w:lang w:val="en-US"/>
        </w:rPr>
        <w:t xml:space="preserve">Carboxylic acids and esters — naming, properties, acidity, and reactions</w:t>
      </w:r>
    </w:p>
    <w:p>
      <w:pPr>
        <w:pStyle w:val="Compact"/>
        <w:numPr>
          <w:ilvl w:val="0"/>
          <w:numId w:val="1019"/>
        </w:numPr>
      </w:pPr>
      <w:r>
        <w:rPr>
          <w:lang w:val="en-US"/>
        </w:rPr>
        <w:t xml:space="preserve">Lab: Chirality</w:t>
      </w:r>
    </w:p>
    <w:p>
      <w:pPr>
        <w:pStyle w:val="Compact"/>
        <w:numPr>
          <w:ilvl w:val="0"/>
          <w:numId w:val="1019"/>
        </w:numPr>
      </w:pPr>
      <w:r>
        <w:rPr>
          <w:lang w:val="en-US"/>
        </w:rPr>
        <w:t xml:space="preserve">Required Reading: Smith Ch. 12 (12.8–12.12), Ch. 13 (13.1–13.6)</w:t>
      </w:r>
    </w:p>
    <w:p>
      <w:pPr>
        <w:pStyle w:val="Compact"/>
        <w:numPr>
          <w:ilvl w:val="0"/>
          <w:numId w:val="1019"/>
        </w:numPr>
      </w:pPr>
      <w:r>
        <w:rPr>
          <w:lang w:val="en-US"/>
        </w:rPr>
        <w:t xml:space="preserve">Naming guide:</w:t>
      </w:r>
      <w:r>
        <w:rPr>
          <w:lang w:val="en-US"/>
        </w:rPr>
        <w:t xml:space="preserve"> </w:t>
      </w:r>
      <w:hyperlink r:id="rId90">
        <w:r>
          <w:rPr>
            <w:rStyle w:val="Hyperlink"/>
            <w:lang w:val="en-US"/>
          </w:rPr>
          <w:t xml:space="preserve">Aldehydes and Ketones</w:t>
        </w:r>
      </w:hyperlink>
      <w:r>
        <w:rPr>
          <w:lang w:val="en-US"/>
        </w:rPr>
        <w:t xml:space="preserve">,</w:t>
      </w:r>
      <w:r>
        <w:rPr>
          <w:lang w:val="en-US"/>
        </w:rPr>
        <w:t xml:space="preserve"> </w:t>
      </w:r>
      <w:hyperlink r:id="rId91">
        <w:r>
          <w:rPr>
            <w:rStyle w:val="Hyperlink"/>
            <w:lang w:val="en-US"/>
          </w:rPr>
          <w:t xml:space="preserve">Chirality, R and S, and Meso Compounds</w:t>
        </w:r>
      </w:hyperlink>
      <w:r>
        <w:rPr>
          <w:lang w:val="en-US"/>
        </w:rPr>
        <w:t xml:space="preserve">,</w:t>
      </w:r>
      <w:r>
        <w:rPr>
          <w:lang w:val="en-US"/>
        </w:rPr>
        <w:t xml:space="preserve"> </w:t>
      </w:r>
      <w:hyperlink r:id="rId92">
        <w:r>
          <w:rPr>
            <w:rStyle w:val="Hyperlink"/>
            <w:lang w:val="en-US"/>
          </w:rPr>
          <w:t xml:space="preserve">Carboxylic Acids, Esters, and Anhydrides</w:t>
        </w:r>
      </w:hyperlink>
    </w:p>
    <w:p>
      <w:pPr>
        <w:pStyle w:val="Compact"/>
        <w:numPr>
          <w:ilvl w:val="0"/>
          <w:numId w:val="1019"/>
        </w:numPr>
      </w:pPr>
      <w:r>
        <w:rPr>
          <w:lang w:val="en-US"/>
        </w:rPr>
        <w:t xml:space="preserve">Reactions guide:</w:t>
      </w:r>
      <w:r>
        <w:rPr>
          <w:lang w:val="en-US"/>
        </w:rPr>
        <w:t xml:space="preserve"> </w:t>
      </w:r>
      <w:hyperlink r:id="rId93">
        <w:r>
          <w:rPr>
            <w:rStyle w:val="Hyperlink"/>
            <w:lang w:val="en-US"/>
          </w:rPr>
          <w:t xml:space="preserve">Oxidation and Reduction</w:t>
        </w:r>
      </w:hyperlink>
      <w:r>
        <w:rPr>
          <w:lang w:val="en-US"/>
        </w:rPr>
        <w:t xml:space="preserve">,</w:t>
      </w:r>
      <w:r>
        <w:rPr>
          <w:lang w:val="en-US"/>
        </w:rPr>
        <w:t xml:space="preserve"> </w:t>
      </w:r>
      <w:hyperlink r:id="rId94">
        <w:r>
          <w:rPr>
            <w:rStyle w:val="Hyperlink"/>
            <w:lang w:val="en-US"/>
          </w:rPr>
          <w:t xml:space="preserve">Esters: Condensation and Hydrolysis</w:t>
        </w:r>
      </w:hyperlink>
      <w:r>
        <w:rPr>
          <w:lang w:val="en-US"/>
        </w:rPr>
        <w:t xml:space="preserve">,</w:t>
      </w:r>
      <w:r>
        <w:rPr>
          <w:lang w:val="en-US"/>
        </w:rPr>
        <w:t xml:space="preserve"> </w:t>
      </w:r>
      <w:hyperlink r:id="rId95">
        <w:r>
          <w:rPr>
            <w:rStyle w:val="Hyperlink"/>
            <w:lang w:val="en-US"/>
          </w:rPr>
          <w:t xml:space="preserve">Carboxylic Acids Give Up H⁺</w:t>
        </w:r>
      </w:hyperlink>
    </w:p>
    <w:p>
      <w:pPr>
        <w:pStyle w:val="Heading3"/>
      </w:pPr>
      <w:r>
        <w:rPr>
          <w:lang w:val="en-US"/>
        </w:rPr>
        <w:t xml:space="preserve">Weekly logistics</w:t>
      </w:r>
    </w:p>
    <w:p>
      <w:pPr>
        <w:pStyle w:val="Compact"/>
        <w:numPr>
          <w:ilvl w:val="0"/>
          <w:numId w:val="1020"/>
        </w:numPr>
      </w:pPr>
      <w:r>
        <w:rPr>
          <w:lang w:val="en-US"/>
        </w:rPr>
        <w:t xml:space="preserve">Activity: A27 (12.8–12.12)</w:t>
      </w:r>
    </w:p>
    <w:p>
      <w:pPr>
        <w:pStyle w:val="Compact"/>
        <w:numPr>
          <w:ilvl w:val="0"/>
          <w:numId w:val="1020"/>
        </w:numPr>
      </w:pPr>
      <w:r>
        <w:rPr>
          <w:lang w:val="en-US"/>
        </w:rPr>
        <w:t xml:space="preserve">Activity: A28 (13.1–13.6)</w:t>
      </w:r>
    </w:p>
    <w:p>
      <w:pPr>
        <w:pStyle w:val="Compact"/>
        <w:numPr>
          <w:ilvl w:val="0"/>
          <w:numId w:val="1020"/>
        </w:numPr>
      </w:pPr>
      <w:r>
        <w:rPr>
          <w:lang w:val="en-US"/>
        </w:rPr>
        <w:t xml:space="preserve">Also this week: Unit Quiz 1 (Ch. 10 + Ch. 11)</w:t>
      </w:r>
    </w:p>
    <w:bookmarkEnd w:id="96"/>
    <w:bookmarkStart w:id="101" w:name="X25c1a371aa188a36f5bf71394f5db3e2d62433b"/>
    <w:p>
      <w:pPr>
        <w:pStyle w:val="Heading2"/>
      </w:pPr>
      <w:r>
        <w:rPr>
          <w:lang w:val="en-US"/>
        </w:rPr>
        <w:t xml:space="preserve">Week 5: Amines, Amides, and Protein Structure</w:t>
      </w:r>
    </w:p>
    <w:p>
      <w:pPr>
        <w:pStyle w:val="FirstParagraph"/>
      </w:pPr>
      <w:r>
        <w:rPr>
          <w:b/>
          <w:bCs/>
          <w:lang w:val="en-US"/>
        </w:rPr>
        <w:t xml:space="preserve">What this week covers:</w:t>
      </w:r>
    </w:p>
    <w:p>
      <w:pPr>
        <w:pStyle w:val="Compact"/>
        <w:numPr>
          <w:ilvl w:val="0"/>
          <w:numId w:val="1021"/>
        </w:numPr>
      </w:pPr>
      <w:r>
        <w:rPr>
          <w:lang w:val="en-US"/>
        </w:rPr>
        <w:t xml:space="preserve">Amines and amides — structure, basicity, naming</w:t>
      </w:r>
    </w:p>
    <w:p>
      <w:pPr>
        <w:pStyle w:val="Compact"/>
        <w:numPr>
          <w:ilvl w:val="0"/>
          <w:numId w:val="1021"/>
        </w:numPr>
      </w:pPr>
      <w:r>
        <w:rPr>
          <w:lang w:val="en-US"/>
        </w:rPr>
        <w:t xml:space="preserve">Amino acids, acid-base behavior of amino acids, and peptides</w:t>
      </w:r>
    </w:p>
    <w:p>
      <w:pPr>
        <w:pStyle w:val="Compact"/>
        <w:numPr>
          <w:ilvl w:val="0"/>
          <w:numId w:val="1021"/>
        </w:numPr>
      </w:pPr>
      <w:r>
        <w:rPr>
          <w:lang w:val="en-US"/>
        </w:rPr>
        <w:t xml:space="preserve">Lab: Reactions of Functional Groups</w:t>
      </w:r>
    </w:p>
    <w:p>
      <w:pPr>
        <w:pStyle w:val="Compact"/>
        <w:numPr>
          <w:ilvl w:val="0"/>
          <w:numId w:val="1021"/>
        </w:numPr>
      </w:pPr>
      <w:r>
        <w:rPr>
          <w:lang w:val="en-US"/>
        </w:rPr>
        <w:t xml:space="preserve">Library Visit 2</w:t>
      </w:r>
    </w:p>
    <w:p>
      <w:pPr>
        <w:pStyle w:val="Compact"/>
        <w:numPr>
          <w:ilvl w:val="0"/>
          <w:numId w:val="1021"/>
        </w:numPr>
      </w:pPr>
      <w:r>
        <w:rPr>
          <w:lang w:val="en-US"/>
        </w:rPr>
        <w:t xml:space="preserve">Required Reading: Smith Ch. 13 (13.7–13.10), Ch. 16 (16.1–16.6)</w:t>
      </w:r>
    </w:p>
    <w:p>
      <w:pPr>
        <w:pStyle w:val="Compact"/>
        <w:numPr>
          <w:ilvl w:val="0"/>
          <w:numId w:val="1021"/>
        </w:numPr>
      </w:pPr>
      <w:r>
        <w:rPr>
          <w:lang w:val="en-US"/>
        </w:rPr>
        <w:t xml:space="preserve">Naming guide:</w:t>
      </w:r>
      <w:r>
        <w:rPr>
          <w:lang w:val="en-US"/>
        </w:rPr>
        <w:t xml:space="preserve"> </w:t>
      </w:r>
      <w:hyperlink r:id="rId97">
        <w:r>
          <w:rPr>
            <w:rStyle w:val="Hyperlink"/>
            <w:lang w:val="en-US"/>
          </w:rPr>
          <w:t xml:space="preserve">Amines and Amides</w:t>
        </w:r>
      </w:hyperlink>
    </w:p>
    <w:p>
      <w:pPr>
        <w:pStyle w:val="Compact"/>
        <w:numPr>
          <w:ilvl w:val="0"/>
          <w:numId w:val="1021"/>
        </w:numPr>
      </w:pPr>
      <w:r>
        <w:rPr>
          <w:lang w:val="en-US"/>
        </w:rPr>
        <w:t xml:space="preserve">Reactions guide:</w:t>
      </w:r>
      <w:r>
        <w:rPr>
          <w:lang w:val="en-US"/>
        </w:rPr>
        <w:t xml:space="preserve"> </w:t>
      </w:r>
      <w:hyperlink r:id="rId98">
        <w:r>
          <w:rPr>
            <w:rStyle w:val="Hyperlink"/>
            <w:lang w:val="en-US"/>
          </w:rPr>
          <w:t xml:space="preserve">Amides and Peptide Bonds</w:t>
        </w:r>
      </w:hyperlink>
      <w:r>
        <w:rPr>
          <w:lang w:val="en-US"/>
        </w:rPr>
        <w:t xml:space="preserve">,</w:t>
      </w:r>
      <w:r>
        <w:rPr>
          <w:lang w:val="en-US"/>
        </w:rPr>
        <w:t xml:space="preserve"> </w:t>
      </w:r>
      <w:hyperlink r:id="rId99">
        <w:r>
          <w:rPr>
            <w:rStyle w:val="Hyperlink"/>
            <w:lang w:val="en-US"/>
          </w:rPr>
          <w:t xml:space="preserve">Amines Pick Up H⁺</w:t>
        </w:r>
      </w:hyperlink>
      <w:r>
        <w:rPr>
          <w:lang w:val="en-US"/>
        </w:rPr>
        <w:t xml:space="preserve">,</w:t>
      </w:r>
      <w:r>
        <w:rPr>
          <w:lang w:val="en-US"/>
        </w:rPr>
        <w:t xml:space="preserve"> </w:t>
      </w:r>
      <w:hyperlink r:id="rId100">
        <w:r>
          <w:rPr>
            <w:rStyle w:val="Hyperlink"/>
            <w:lang w:val="en-US"/>
          </w:rPr>
          <w:t xml:space="preserve">Amino Acids as Zwitterions</w:t>
        </w:r>
      </w:hyperlink>
    </w:p>
    <w:p>
      <w:pPr>
        <w:pStyle w:val="Heading3"/>
      </w:pPr>
      <w:r>
        <w:rPr>
          <w:lang w:val="en-US"/>
        </w:rPr>
        <w:t xml:space="preserve">Weekly logistics</w:t>
      </w:r>
    </w:p>
    <w:p>
      <w:pPr>
        <w:pStyle w:val="Compact"/>
        <w:numPr>
          <w:ilvl w:val="0"/>
          <w:numId w:val="1022"/>
        </w:numPr>
      </w:pPr>
      <w:r>
        <w:rPr>
          <w:lang w:val="en-US"/>
        </w:rPr>
        <w:t xml:space="preserve">Activity: A29 (13.7–13.10)</w:t>
      </w:r>
    </w:p>
    <w:p>
      <w:pPr>
        <w:pStyle w:val="Compact"/>
        <w:numPr>
          <w:ilvl w:val="0"/>
          <w:numId w:val="1022"/>
        </w:numPr>
      </w:pPr>
      <w:r>
        <w:rPr>
          <w:lang w:val="en-US"/>
        </w:rPr>
        <w:t xml:space="preserve">Activity: A30 (16.1–16.6)</w:t>
      </w:r>
    </w:p>
    <w:p>
      <w:pPr>
        <w:pStyle w:val="Compact"/>
        <w:numPr>
          <w:ilvl w:val="0"/>
          <w:numId w:val="1022"/>
        </w:numPr>
      </w:pPr>
      <w:r>
        <w:rPr>
          <w:lang w:val="en-US"/>
        </w:rPr>
        <w:t xml:space="preserve">Writing Workshop 2</w:t>
      </w:r>
    </w:p>
    <w:bookmarkEnd w:id="101"/>
    <w:bookmarkStart w:id="106" w:name="X972c9e0617b3b70e941263a88735c36e70df5cd"/>
    <w:p>
      <w:pPr>
        <w:pStyle w:val="Heading2"/>
      </w:pPr>
      <w:r>
        <w:rPr>
          <w:lang w:val="en-US"/>
        </w:rPr>
        <w:t xml:space="preserve">Week 6: Proteins, Enzymes, and Carbohydrates</w:t>
      </w:r>
    </w:p>
    <w:p>
      <w:pPr>
        <w:pStyle w:val="FirstParagraph"/>
      </w:pPr>
      <w:r>
        <w:rPr>
          <w:b/>
          <w:bCs/>
          <w:lang w:val="en-US"/>
        </w:rPr>
        <w:t xml:space="preserve">What this week covers:</w:t>
      </w:r>
    </w:p>
    <w:p>
      <w:pPr>
        <w:pStyle w:val="Compact"/>
        <w:numPr>
          <w:ilvl w:val="0"/>
          <w:numId w:val="1023"/>
        </w:numPr>
      </w:pPr>
      <w:r>
        <w:rPr>
          <w:lang w:val="en-US"/>
        </w:rPr>
        <w:t xml:space="preserve">Common proteins; protein hydrolysis and denaturation; enzymes and</w:t>
      </w:r>
      <w:r>
        <w:rPr>
          <w:lang w:val="en-US"/>
        </w:rPr>
        <w:t xml:space="preserve"> </w:t>
      </w:r>
      <w:r>
        <w:rPr>
          <w:lang w:val="en-US"/>
        </w:rPr>
        <w:t xml:space="preserve">how they work; using enzymes to diagnose and treat disease</w:t>
      </w:r>
    </w:p>
    <w:p>
      <w:pPr>
        <w:pStyle w:val="Compact"/>
        <w:numPr>
          <w:ilvl w:val="0"/>
          <w:numId w:val="1023"/>
        </w:numPr>
      </w:pPr>
      <w:r>
        <w:rPr>
          <w:lang w:val="en-US"/>
        </w:rPr>
        <w:t xml:space="preserve">Monosaccharides and their cyclic forms</w:t>
      </w:r>
    </w:p>
    <w:p>
      <w:pPr>
        <w:pStyle w:val="Compact"/>
        <w:numPr>
          <w:ilvl w:val="0"/>
          <w:numId w:val="1023"/>
        </w:numPr>
      </w:pPr>
      <w:r>
        <w:rPr>
          <w:lang w:val="en-US"/>
        </w:rPr>
        <w:t xml:space="preserve">Lab: Protein Light</w:t>
      </w:r>
    </w:p>
    <w:p>
      <w:pPr>
        <w:pStyle w:val="Compact"/>
        <w:numPr>
          <w:ilvl w:val="0"/>
          <w:numId w:val="1023"/>
        </w:numPr>
      </w:pPr>
      <w:r>
        <w:rPr>
          <w:lang w:val="en-US"/>
        </w:rPr>
        <w:t xml:space="preserve">Required Reading: Smith Ch. 16 (16.7–16.11), Ch. 14 (14.1–14.3)</w:t>
      </w:r>
    </w:p>
    <w:p>
      <w:pPr>
        <w:pStyle w:val="Compact"/>
        <w:numPr>
          <w:ilvl w:val="0"/>
          <w:numId w:val="1023"/>
        </w:numPr>
      </w:pPr>
      <w:r>
        <w:rPr>
          <w:lang w:val="en-US"/>
        </w:rPr>
        <w:t xml:space="preserve">Naming guide:</w:t>
      </w:r>
      <w:r>
        <w:rPr>
          <w:lang w:val="en-US"/>
        </w:rPr>
        <w:t xml:space="preserve"> </w:t>
      </w:r>
      <w:hyperlink r:id="rId102">
        <w:r>
          <w:rPr>
            <w:rStyle w:val="Hyperlink"/>
            <w:lang w:val="en-US"/>
          </w:rPr>
          <w:t xml:space="preserve">Fischer Projections and D/L</w:t>
        </w:r>
      </w:hyperlink>
    </w:p>
    <w:p>
      <w:pPr>
        <w:pStyle w:val="Compact"/>
        <w:numPr>
          <w:ilvl w:val="0"/>
          <w:numId w:val="1023"/>
        </w:numPr>
      </w:pPr>
      <w:r>
        <w:rPr>
          <w:lang w:val="en-US"/>
        </w:rPr>
        <w:t xml:space="preserve">Reactions guide:</w:t>
      </w:r>
      <w:r>
        <w:rPr>
          <w:lang w:val="en-US"/>
        </w:rPr>
        <w:t xml:space="preserve"> </w:t>
      </w:r>
      <w:hyperlink r:id="rId103">
        <w:r>
          <w:rPr>
            <w:rStyle w:val="Hyperlink"/>
            <w:lang w:val="en-US"/>
          </w:rPr>
          <w:t xml:space="preserve">Protein Digestion (Hydrolysis)</w:t>
        </w:r>
      </w:hyperlink>
      <w:r>
        <w:rPr>
          <w:lang w:val="en-US"/>
        </w:rPr>
        <w:t xml:space="preserve">,</w:t>
      </w:r>
      <w:r>
        <w:rPr>
          <w:lang w:val="en-US"/>
        </w:rPr>
        <w:t xml:space="preserve"> </w:t>
      </w:r>
      <w:hyperlink r:id="rId104">
        <w:r>
          <w:rPr>
            <w:rStyle w:val="Hyperlink"/>
            <w:lang w:val="en-US"/>
          </w:rPr>
          <w:t xml:space="preserve">Reading an Enzyme’s Name</w:t>
        </w:r>
      </w:hyperlink>
      <w:r>
        <w:rPr>
          <w:lang w:val="en-US"/>
        </w:rPr>
        <w:t xml:space="preserve">,</w:t>
      </w:r>
      <w:r>
        <w:rPr>
          <w:lang w:val="en-US"/>
        </w:rPr>
        <w:t xml:space="preserve"> </w:t>
      </w:r>
      <w:hyperlink r:id="rId105">
        <w:r>
          <w:rPr>
            <w:rStyle w:val="Hyperlink"/>
            <w:lang w:val="en-US"/>
          </w:rPr>
          <w:t xml:space="preserve">Sugar Rings (Hemiacetals)</w:t>
        </w:r>
      </w:hyperlink>
    </w:p>
    <w:p>
      <w:pPr>
        <w:pStyle w:val="Heading3"/>
      </w:pPr>
      <w:r>
        <w:rPr>
          <w:lang w:val="en-US"/>
        </w:rPr>
        <w:t xml:space="preserve">Weekly logistics</w:t>
      </w:r>
    </w:p>
    <w:p>
      <w:pPr>
        <w:pStyle w:val="Compact"/>
        <w:numPr>
          <w:ilvl w:val="0"/>
          <w:numId w:val="1024"/>
        </w:numPr>
      </w:pPr>
      <w:r>
        <w:rPr>
          <w:lang w:val="en-US"/>
        </w:rPr>
        <w:t xml:space="preserve">Activity: A31 (16.7–16.11)</w:t>
      </w:r>
    </w:p>
    <w:p>
      <w:pPr>
        <w:pStyle w:val="Compact"/>
        <w:numPr>
          <w:ilvl w:val="0"/>
          <w:numId w:val="1024"/>
        </w:numPr>
      </w:pPr>
      <w:r>
        <w:rPr>
          <w:lang w:val="en-US"/>
        </w:rPr>
        <w:t xml:space="preserve">Activity: A32 (14.1–14.3)</w:t>
      </w:r>
    </w:p>
    <w:p>
      <w:pPr>
        <w:pStyle w:val="Compact"/>
        <w:numPr>
          <w:ilvl w:val="0"/>
          <w:numId w:val="1024"/>
        </w:numPr>
      </w:pPr>
      <w:r>
        <w:rPr>
          <w:lang w:val="en-US"/>
        </w:rPr>
        <w:t xml:space="preserve">Also this week: Unit Quiz 2 (organic reactions and functional groups);</w:t>
      </w:r>
      <w:r>
        <w:rPr>
          <w:lang w:val="en-US"/>
        </w:rPr>
        <w:t xml:space="preserve"> </w:t>
      </w:r>
      <w:r>
        <w:rPr>
          <w:lang w:val="en-US"/>
        </w:rPr>
        <w:t xml:space="preserve">Archer Gallery Visit in place of a lab</w:t>
      </w:r>
    </w:p>
    <w:bookmarkEnd w:id="106"/>
    <w:bookmarkStart w:id="111" w:name="week-7-carbohydrates-and-lipids"/>
    <w:p>
      <w:pPr>
        <w:pStyle w:val="Heading2"/>
      </w:pPr>
      <w:r>
        <w:rPr>
          <w:lang w:val="en-US"/>
        </w:rPr>
        <w:t xml:space="preserve">Week 7: Carbohydrates and Lipids</w:t>
      </w:r>
    </w:p>
    <w:p>
      <w:pPr>
        <w:pStyle w:val="FirstParagraph"/>
      </w:pPr>
      <w:r>
        <w:rPr>
          <w:b/>
          <w:bCs/>
          <w:lang w:val="en-US"/>
        </w:rPr>
        <w:t xml:space="preserve">What this week covers:</w:t>
      </w:r>
    </w:p>
    <w:p>
      <w:pPr>
        <w:pStyle w:val="Compact"/>
        <w:numPr>
          <w:ilvl w:val="0"/>
          <w:numId w:val="1025"/>
        </w:numPr>
      </w:pPr>
      <w:r>
        <w:rPr>
          <w:lang w:val="en-US"/>
        </w:rPr>
        <w:t xml:space="preserve">Reactions of monosaccharides; disaccharides; polysaccharides; blood type</w:t>
      </w:r>
    </w:p>
    <w:p>
      <w:pPr>
        <w:pStyle w:val="Compact"/>
        <w:numPr>
          <w:ilvl w:val="0"/>
          <w:numId w:val="1025"/>
        </w:numPr>
      </w:pPr>
      <w:r>
        <w:rPr>
          <w:lang w:val="en-US"/>
        </w:rPr>
        <w:t xml:space="preserve">Lipids — fatty acids, waxes, triacylglycerols, and their hydrolysis</w:t>
      </w:r>
    </w:p>
    <w:p>
      <w:pPr>
        <w:pStyle w:val="Compact"/>
        <w:numPr>
          <w:ilvl w:val="0"/>
          <w:numId w:val="1025"/>
        </w:numPr>
      </w:pPr>
      <w:r>
        <w:rPr>
          <w:lang w:val="en-US"/>
        </w:rPr>
        <w:t xml:space="preserve">Lab: Sugar Spill and Enzymes (Day 1); Bioremediation (Day 2)</w:t>
      </w:r>
    </w:p>
    <w:p>
      <w:pPr>
        <w:pStyle w:val="Compact"/>
        <w:numPr>
          <w:ilvl w:val="0"/>
          <w:numId w:val="1025"/>
        </w:numPr>
      </w:pPr>
      <w:r>
        <w:rPr>
          <w:lang w:val="en-US"/>
        </w:rPr>
        <w:t xml:space="preserve">Required Reading: Smith Ch. 14 (14.4–14.7), Ch. 15 (15.1–15.5)</w:t>
      </w:r>
    </w:p>
    <w:p>
      <w:pPr>
        <w:pStyle w:val="Compact"/>
        <w:numPr>
          <w:ilvl w:val="0"/>
          <w:numId w:val="1025"/>
        </w:numPr>
      </w:pPr>
      <w:r>
        <w:rPr>
          <w:lang w:val="en-US"/>
        </w:rPr>
        <w:t xml:space="preserve">Naming guide:</w:t>
      </w:r>
      <w:r>
        <w:rPr>
          <w:lang w:val="en-US"/>
        </w:rPr>
        <w:t xml:space="preserve"> </w:t>
      </w:r>
      <w:hyperlink r:id="rId107">
        <w:r>
          <w:rPr>
            <w:rStyle w:val="Hyperlink"/>
            <w:lang w:val="en-US"/>
          </w:rPr>
          <w:t xml:space="preserve">Fatty Acids: Chain Length and Cis/Trans</w:t>
        </w:r>
      </w:hyperlink>
    </w:p>
    <w:p>
      <w:pPr>
        <w:pStyle w:val="Compact"/>
        <w:numPr>
          <w:ilvl w:val="0"/>
          <w:numId w:val="1025"/>
        </w:numPr>
      </w:pPr>
      <w:r>
        <w:rPr>
          <w:lang w:val="en-US"/>
        </w:rPr>
        <w:t xml:space="preserve">Reactions guide:</w:t>
      </w:r>
      <w:r>
        <w:rPr>
          <w:lang w:val="en-US"/>
        </w:rPr>
        <w:t xml:space="preserve"> </w:t>
      </w:r>
      <w:hyperlink r:id="rId108">
        <w:r>
          <w:rPr>
            <w:rStyle w:val="Hyperlink"/>
            <w:lang w:val="en-US"/>
          </w:rPr>
          <w:t xml:space="preserve">Sugar Oxidation and Reduction</w:t>
        </w:r>
      </w:hyperlink>
      <w:r>
        <w:rPr>
          <w:lang w:val="en-US"/>
        </w:rPr>
        <w:t xml:space="preserve">,</w:t>
      </w:r>
      <w:r>
        <w:rPr>
          <w:lang w:val="en-US"/>
        </w:rPr>
        <w:t xml:space="preserve"> </w:t>
      </w:r>
      <w:hyperlink r:id="rId109">
        <w:r>
          <w:rPr>
            <w:rStyle w:val="Hyperlink"/>
            <w:lang w:val="en-US"/>
          </w:rPr>
          <w:t xml:space="preserve">Reducing Sugars and Benedict’s Test</w:t>
        </w:r>
      </w:hyperlink>
      <w:r>
        <w:rPr>
          <w:lang w:val="en-US"/>
        </w:rPr>
        <w:t xml:space="preserve">,</w:t>
      </w:r>
      <w:r>
        <w:rPr>
          <w:lang w:val="en-US"/>
        </w:rPr>
        <w:t xml:space="preserve"> </w:t>
      </w:r>
      <w:hyperlink r:id="rId98">
        <w:r>
          <w:rPr>
            <w:rStyle w:val="Hyperlink"/>
            <w:lang w:val="en-US"/>
          </w:rPr>
          <w:t xml:space="preserve">Glycosidic Bonds and Triglycerides</w:t>
        </w:r>
      </w:hyperlink>
      <w:r>
        <w:rPr>
          <w:lang w:val="en-US"/>
        </w:rPr>
        <w:t xml:space="preserve">,</w:t>
      </w:r>
      <w:r>
        <w:rPr>
          <w:lang w:val="en-US"/>
        </w:rPr>
        <w:t xml:space="preserve"> </w:t>
      </w:r>
      <w:hyperlink r:id="rId103">
        <w:r>
          <w:rPr>
            <w:rStyle w:val="Hyperlink"/>
            <w:lang w:val="en-US"/>
          </w:rPr>
          <w:t xml:space="preserve">Digestion and Saponification</w:t>
        </w:r>
      </w:hyperlink>
      <w:r>
        <w:rPr>
          <w:lang w:val="en-US"/>
        </w:rPr>
        <w:t xml:space="preserve">,</w:t>
      </w:r>
      <w:r>
        <w:rPr>
          <w:lang w:val="en-US"/>
        </w:rPr>
        <w:t xml:space="preserve"> </w:t>
      </w:r>
      <w:hyperlink r:id="rId110">
        <w:r>
          <w:rPr>
            <w:rStyle w:val="Hyperlink"/>
            <w:lang w:val="en-US"/>
          </w:rPr>
          <w:t xml:space="preserve">Margarine and Trans Fats</w:t>
        </w:r>
      </w:hyperlink>
    </w:p>
    <w:p>
      <w:pPr>
        <w:pStyle w:val="Heading3"/>
      </w:pPr>
      <w:r>
        <w:rPr>
          <w:lang w:val="en-US"/>
        </w:rPr>
        <w:t xml:space="preserve">Weekly logistics</w:t>
      </w:r>
    </w:p>
    <w:p>
      <w:pPr>
        <w:pStyle w:val="Compact"/>
        <w:numPr>
          <w:ilvl w:val="0"/>
          <w:numId w:val="1026"/>
        </w:numPr>
      </w:pPr>
      <w:r>
        <w:rPr>
          <w:lang w:val="en-US"/>
        </w:rPr>
        <w:t xml:space="preserve">Activity: A33 (14.4–14.7)</w:t>
      </w:r>
    </w:p>
    <w:p>
      <w:pPr>
        <w:pStyle w:val="Compact"/>
        <w:numPr>
          <w:ilvl w:val="0"/>
          <w:numId w:val="1026"/>
        </w:numPr>
      </w:pPr>
      <w:r>
        <w:rPr>
          <w:lang w:val="en-US"/>
        </w:rPr>
        <w:t xml:space="preserve">Activity: A34 (15.1–15.5)</w:t>
      </w:r>
    </w:p>
    <w:p>
      <w:pPr>
        <w:pStyle w:val="Compact"/>
        <w:numPr>
          <w:ilvl w:val="0"/>
          <w:numId w:val="1026"/>
        </w:numPr>
      </w:pPr>
      <w:r>
        <w:rPr>
          <w:lang w:val="en-US"/>
        </w:rPr>
        <w:t xml:space="preserve">Bioremediation lab finishes with a Graphing Workshop</w:t>
      </w:r>
    </w:p>
    <w:bookmarkEnd w:id="111"/>
    <w:bookmarkStart w:id="114" w:name="week-8-cell-membranes-and-nucleic-acids"/>
    <w:p>
      <w:pPr>
        <w:pStyle w:val="Heading2"/>
      </w:pPr>
      <w:r>
        <w:rPr>
          <w:lang w:val="en-US"/>
        </w:rPr>
        <w:t xml:space="preserve">Week 8: Cell Membranes and Nucleic Acids</w:t>
      </w:r>
    </w:p>
    <w:p>
      <w:pPr>
        <w:pStyle w:val="FirstParagraph"/>
      </w:pPr>
      <w:r>
        <w:rPr>
          <w:b/>
          <w:bCs/>
          <w:lang w:val="en-US"/>
        </w:rPr>
        <w:t xml:space="preserve">What this week covers:</w:t>
      </w:r>
    </w:p>
    <w:p>
      <w:pPr>
        <w:pStyle w:val="Compact"/>
        <w:numPr>
          <w:ilvl w:val="0"/>
          <w:numId w:val="1027"/>
        </w:numPr>
      </w:pPr>
      <w:r>
        <w:rPr>
          <w:lang w:val="en-US"/>
        </w:rPr>
        <w:t xml:space="preserve">Phospholipids and cell membranes; cholesterol; steroid hormones;</w:t>
      </w:r>
      <w:r>
        <w:rPr>
          <w:lang w:val="en-US"/>
        </w:rPr>
        <w:t xml:space="preserve"> </w:t>
      </w:r>
      <w:r>
        <w:rPr>
          <w:lang w:val="en-US"/>
        </w:rPr>
        <w:t xml:space="preserve">fat-soluble vitamins</w:t>
      </w:r>
    </w:p>
    <w:p>
      <w:pPr>
        <w:pStyle w:val="Compact"/>
        <w:numPr>
          <w:ilvl w:val="0"/>
          <w:numId w:val="1027"/>
        </w:numPr>
      </w:pPr>
      <w:r>
        <w:rPr>
          <w:lang w:val="en-US"/>
        </w:rPr>
        <w:t xml:space="preserve">Nucleosides, nucleotides, and nucleic acids; the DNA double helix; replication; RNA</w:t>
      </w:r>
    </w:p>
    <w:p>
      <w:pPr>
        <w:pStyle w:val="Compact"/>
        <w:numPr>
          <w:ilvl w:val="0"/>
          <w:numId w:val="1027"/>
        </w:numPr>
      </w:pPr>
      <w:r>
        <w:rPr>
          <w:lang w:val="en-US"/>
        </w:rPr>
        <w:t xml:space="preserve">Lab: Bioplastics (Design Challenge)</w:t>
      </w:r>
    </w:p>
    <w:p>
      <w:pPr>
        <w:pStyle w:val="Compact"/>
        <w:numPr>
          <w:ilvl w:val="0"/>
          <w:numId w:val="1027"/>
        </w:numPr>
      </w:pPr>
      <w:r>
        <w:rPr>
          <w:lang w:val="en-US"/>
        </w:rPr>
        <w:t xml:space="preserve">Required Reading: Smith Ch. 15 (15.6–15.10), Ch. 17 (17.1–17.5)</w:t>
      </w:r>
    </w:p>
    <w:p>
      <w:pPr>
        <w:pStyle w:val="Compact"/>
        <w:numPr>
          <w:ilvl w:val="0"/>
          <w:numId w:val="1027"/>
        </w:numPr>
      </w:pPr>
      <w:r>
        <w:rPr>
          <w:lang w:val="en-US"/>
        </w:rPr>
        <w:t xml:space="preserve">Naming guide:</w:t>
      </w:r>
      <w:r>
        <w:rPr>
          <w:lang w:val="en-US"/>
        </w:rPr>
        <w:t xml:space="preserve"> </w:t>
      </w:r>
      <w:hyperlink r:id="rId112">
        <w:r>
          <w:rPr>
            <w:rStyle w:val="Hyperlink"/>
            <w:lang w:val="en-US"/>
          </w:rPr>
          <w:t xml:space="preserve">Steroids</w:t>
        </w:r>
      </w:hyperlink>
      <w:r>
        <w:rPr>
          <w:lang w:val="en-US"/>
        </w:rPr>
        <w:t xml:space="preserve">,</w:t>
      </w:r>
      <w:r>
        <w:rPr>
          <w:lang w:val="en-US"/>
        </w:rPr>
        <w:t xml:space="preserve"> </w:t>
      </w:r>
      <w:hyperlink r:id="rId113">
        <w:r>
          <w:rPr>
            <w:rStyle w:val="Hyperlink"/>
            <w:lang w:val="en-US"/>
          </w:rPr>
          <w:t xml:space="preserve">Nitrogen Rings</w:t>
        </w:r>
      </w:hyperlink>
    </w:p>
    <w:p>
      <w:pPr>
        <w:pStyle w:val="Heading3"/>
      </w:pPr>
      <w:r>
        <w:rPr>
          <w:lang w:val="en-US"/>
        </w:rPr>
        <w:t xml:space="preserve">Weekly logistics</w:t>
      </w:r>
    </w:p>
    <w:p>
      <w:pPr>
        <w:pStyle w:val="Compact"/>
        <w:numPr>
          <w:ilvl w:val="0"/>
          <w:numId w:val="1028"/>
        </w:numPr>
      </w:pPr>
      <w:r>
        <w:rPr>
          <w:lang w:val="en-US"/>
        </w:rPr>
        <w:t xml:space="preserve">Activity: A35 (15.6–15.10)</w:t>
      </w:r>
    </w:p>
    <w:p>
      <w:pPr>
        <w:pStyle w:val="Compact"/>
        <w:numPr>
          <w:ilvl w:val="0"/>
          <w:numId w:val="1028"/>
        </w:numPr>
      </w:pPr>
      <w:r>
        <w:rPr>
          <w:lang w:val="en-US"/>
        </w:rPr>
        <w:t xml:space="preserve">Activity: A36 (17.1–17.5)</w:t>
      </w:r>
    </w:p>
    <w:p>
      <w:pPr>
        <w:pStyle w:val="Compact"/>
        <w:numPr>
          <w:ilvl w:val="0"/>
          <w:numId w:val="1028"/>
        </w:numPr>
      </w:pPr>
      <w:r>
        <w:rPr>
          <w:lang w:val="en-US"/>
        </w:rPr>
        <w:t xml:space="preserve">Also this week: Unit Quiz 3 (Ch. 16 + Ch. 14)</w:t>
      </w:r>
    </w:p>
    <w:bookmarkEnd w:id="114"/>
    <w:bookmarkStart w:id="118" w:name="Xf52e2a1438eb51eedf41392730bb350ab07441d"/>
    <w:p>
      <w:pPr>
        <w:pStyle w:val="Heading2"/>
      </w:pPr>
      <w:r>
        <w:rPr>
          <w:lang w:val="en-US"/>
        </w:rPr>
        <w:t xml:space="preserve">Week 9: Protein Synthesis and Metabolism Overview</w:t>
      </w:r>
    </w:p>
    <w:p>
      <w:pPr>
        <w:pStyle w:val="FirstParagraph"/>
      </w:pPr>
      <w:r>
        <w:rPr>
          <w:b/>
          <w:bCs/>
          <w:lang w:val="en-US"/>
        </w:rPr>
        <w:t xml:space="preserve">What this week covers:</w:t>
      </w:r>
    </w:p>
    <w:p>
      <w:pPr>
        <w:pStyle w:val="Compact"/>
        <w:numPr>
          <w:ilvl w:val="0"/>
          <w:numId w:val="1029"/>
        </w:numPr>
      </w:pPr>
      <w:r>
        <w:rPr>
          <w:lang w:val="en-US"/>
        </w:rPr>
        <w:t xml:space="preserve">Transcription; the genetic code; translation; mutations and genetic</w:t>
      </w:r>
      <w:r>
        <w:rPr>
          <w:lang w:val="en-US"/>
        </w:rPr>
        <w:t xml:space="preserve"> </w:t>
      </w:r>
      <w:r>
        <w:rPr>
          <w:lang w:val="en-US"/>
        </w:rPr>
        <w:t xml:space="preserve">disease; modern DNA technology; viruses</w:t>
      </w:r>
    </w:p>
    <w:p>
      <w:pPr>
        <w:pStyle w:val="Compact"/>
        <w:numPr>
          <w:ilvl w:val="0"/>
          <w:numId w:val="1029"/>
        </w:numPr>
      </w:pPr>
      <w:r>
        <w:rPr>
          <w:lang w:val="en-US"/>
        </w:rPr>
        <w:t xml:space="preserve">Overview of metabolism; ATP and energy production; coenzymes in metabolism</w:t>
      </w:r>
    </w:p>
    <w:p>
      <w:pPr>
        <w:pStyle w:val="Compact"/>
        <w:numPr>
          <w:ilvl w:val="0"/>
          <w:numId w:val="1029"/>
        </w:numPr>
      </w:pPr>
      <w:r>
        <w:rPr>
          <w:lang w:val="en-US"/>
        </w:rPr>
        <w:t xml:space="preserve">Lab: DNA Extraction</w:t>
      </w:r>
    </w:p>
    <w:p>
      <w:pPr>
        <w:pStyle w:val="Compact"/>
        <w:numPr>
          <w:ilvl w:val="0"/>
          <w:numId w:val="1029"/>
        </w:numPr>
      </w:pPr>
      <w:r>
        <w:rPr>
          <w:lang w:val="en-US"/>
        </w:rPr>
        <w:t xml:space="preserve">Required Reading: Smith Ch. 17 (17.6–17.11), Ch. 18 (18.1–18.3)</w:t>
      </w:r>
    </w:p>
    <w:p>
      <w:pPr>
        <w:pStyle w:val="Compact"/>
        <w:numPr>
          <w:ilvl w:val="0"/>
          <w:numId w:val="1029"/>
        </w:numPr>
      </w:pPr>
      <w:r>
        <w:rPr>
          <w:lang w:val="en-US"/>
        </w:rPr>
        <w:t xml:space="preserve">Naming guide:</w:t>
      </w:r>
      <w:r>
        <w:rPr>
          <w:lang w:val="en-US"/>
        </w:rPr>
        <w:t xml:space="preserve"> </w:t>
      </w:r>
      <w:hyperlink r:id="rId115">
        <w:r>
          <w:rPr>
            <w:rStyle w:val="Hyperlink"/>
            <w:lang w:val="en-US"/>
          </w:rPr>
          <w:t xml:space="preserve">Phosphates and ATP</w:t>
        </w:r>
      </w:hyperlink>
    </w:p>
    <w:p>
      <w:pPr>
        <w:pStyle w:val="Compact"/>
        <w:numPr>
          <w:ilvl w:val="0"/>
          <w:numId w:val="1029"/>
        </w:numPr>
      </w:pPr>
      <w:r>
        <w:rPr>
          <w:lang w:val="en-US"/>
        </w:rPr>
        <w:t xml:space="preserve">Reactions guide:</w:t>
      </w:r>
      <w:r>
        <w:rPr>
          <w:lang w:val="en-US"/>
        </w:rPr>
        <w:t xml:space="preserve"> </w:t>
      </w:r>
      <w:hyperlink r:id="rId116">
        <w:r>
          <w:rPr>
            <w:rStyle w:val="Hyperlink"/>
            <w:lang w:val="en-US"/>
          </w:rPr>
          <w:t xml:space="preserve">Reactions in Metabolism</w:t>
        </w:r>
      </w:hyperlink>
      <w:r>
        <w:rPr>
          <w:lang w:val="en-US"/>
        </w:rPr>
        <w:t xml:space="preserve">,</w:t>
      </w:r>
      <w:r>
        <w:rPr>
          <w:lang w:val="en-US"/>
        </w:rPr>
        <w:t xml:space="preserve"> </w:t>
      </w:r>
      <w:hyperlink r:id="rId117">
        <w:r>
          <w:rPr>
            <w:rStyle w:val="Hyperlink"/>
            <w:lang w:val="en-US"/>
          </w:rPr>
          <w:t xml:space="preserve">NAD⁺ and FAD as Coenzymes</w:t>
        </w:r>
      </w:hyperlink>
      <w:r>
        <w:rPr>
          <w:lang w:val="en-US"/>
        </w:rPr>
        <w:t xml:space="preserve">,</w:t>
      </w:r>
      <w:r>
        <w:rPr>
          <w:lang w:val="en-US"/>
        </w:rPr>
        <w:t xml:space="preserve"> </w:t>
      </w:r>
      <w:hyperlink r:id="rId104">
        <w:r>
          <w:rPr>
            <w:rStyle w:val="Hyperlink"/>
            <w:lang w:val="en-US"/>
          </w:rPr>
          <w:t xml:space="preserve">Reading an Enzyme’s Name</w:t>
        </w:r>
      </w:hyperlink>
    </w:p>
    <w:p>
      <w:pPr>
        <w:pStyle w:val="Heading3"/>
      </w:pPr>
      <w:r>
        <w:rPr>
          <w:lang w:val="en-US"/>
        </w:rPr>
        <w:t xml:space="preserve">Weekly logistics</w:t>
      </w:r>
    </w:p>
    <w:p>
      <w:pPr>
        <w:pStyle w:val="Compact"/>
        <w:numPr>
          <w:ilvl w:val="0"/>
          <w:numId w:val="1030"/>
        </w:numPr>
      </w:pPr>
      <w:r>
        <w:rPr>
          <w:lang w:val="en-US"/>
        </w:rPr>
        <w:t xml:space="preserve">Activity: A37 (17.6–17.11)</w:t>
      </w:r>
    </w:p>
    <w:p>
      <w:pPr>
        <w:pStyle w:val="Compact"/>
        <w:numPr>
          <w:ilvl w:val="0"/>
          <w:numId w:val="1030"/>
        </w:numPr>
      </w:pPr>
      <w:r>
        <w:rPr>
          <w:lang w:val="en-US"/>
        </w:rPr>
        <w:t xml:space="preserve">Activity: A38 (18.1–18.3)</w:t>
      </w:r>
    </w:p>
    <w:p>
      <w:pPr>
        <w:pStyle w:val="Compact"/>
        <w:numPr>
          <w:ilvl w:val="0"/>
          <w:numId w:val="1030"/>
        </w:numPr>
      </w:pPr>
      <w:r>
        <w:rPr>
          <w:lang w:val="en-US"/>
        </w:rPr>
        <w:t xml:space="preserve">Seed-toxicology lab prep begins this week (advance germination time)</w:t>
      </w:r>
    </w:p>
    <w:bookmarkEnd w:id="118"/>
    <w:bookmarkStart w:id="121" w:name="X8b13cc2bc9fa4be22b90fbca6b049f5172071d3"/>
    <w:p>
      <w:pPr>
        <w:pStyle w:val="Heading2"/>
      </w:pPr>
      <w:r>
        <w:rPr>
          <w:lang w:val="en-US"/>
        </w:rPr>
        <w:t xml:space="preserve">Week 10: Catabolism, Energy Expenditure, and Final Project</w:t>
      </w:r>
    </w:p>
    <w:p>
      <w:pPr>
        <w:pStyle w:val="FirstParagraph"/>
      </w:pPr>
      <w:r>
        <w:rPr>
          <w:b/>
          <w:bCs/>
          <w:lang w:val="en-US"/>
        </w:rPr>
        <w:t xml:space="preserve">What this week covers:</w:t>
      </w:r>
    </w:p>
    <w:p>
      <w:pPr>
        <w:pStyle w:val="Compact"/>
        <w:numPr>
          <w:ilvl w:val="0"/>
          <w:numId w:val="1031"/>
        </w:numPr>
      </w:pPr>
      <w:r>
        <w:rPr>
          <w:lang w:val="en-US"/>
        </w:rPr>
        <w:t xml:space="preserve">Glycolysis; the fate of pyruvate; the citric acid cycle; electron</w:t>
      </w:r>
      <w:r>
        <w:rPr>
          <w:lang w:val="en-US"/>
        </w:rPr>
        <w:t xml:space="preserve"> </w:t>
      </w:r>
      <w:r>
        <w:rPr>
          <w:lang w:val="en-US"/>
        </w:rPr>
        <w:t xml:space="preserve">transport chain and oxidative phosphorylation; ATP yield from glucose</w:t>
      </w:r>
    </w:p>
    <w:p>
      <w:pPr>
        <w:pStyle w:val="Compact"/>
        <w:numPr>
          <w:ilvl w:val="0"/>
          <w:numId w:val="1031"/>
        </w:numPr>
      </w:pPr>
      <w:r>
        <w:rPr>
          <w:lang w:val="en-US"/>
        </w:rPr>
        <w:t xml:space="preserve">Catabolism of triacylglycerols; ketone bodies; amino acid metabolism</w:t>
      </w:r>
    </w:p>
    <w:p>
      <w:pPr>
        <w:pStyle w:val="Compact"/>
        <w:numPr>
          <w:ilvl w:val="0"/>
          <w:numId w:val="1031"/>
        </w:numPr>
      </w:pPr>
      <w:r>
        <w:rPr>
          <w:lang w:val="en-US"/>
        </w:rPr>
        <w:t xml:space="preserve">Lab: Seed Toxicology</w:t>
      </w:r>
    </w:p>
    <w:p>
      <w:pPr>
        <w:pStyle w:val="Compact"/>
        <w:numPr>
          <w:ilvl w:val="0"/>
          <w:numId w:val="1031"/>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1"/>
        </w:numPr>
      </w:pPr>
      <w:r>
        <w:rPr>
          <w:lang w:val="en-US"/>
        </w:rPr>
        <w:t xml:space="preserve">Required Reading: Smith Ch. 18 (18.4–18.11)</w:t>
      </w:r>
    </w:p>
    <w:p>
      <w:pPr>
        <w:pStyle w:val="Compact"/>
        <w:numPr>
          <w:ilvl w:val="0"/>
          <w:numId w:val="1031"/>
        </w:numPr>
      </w:pPr>
      <w:r>
        <w:rPr>
          <w:lang w:val="en-US"/>
        </w:rPr>
        <w:t xml:space="preserve">Reactions guide:</w:t>
      </w:r>
      <w:r>
        <w:rPr>
          <w:lang w:val="en-US"/>
        </w:rPr>
        <w:t xml:space="preserve"> </w:t>
      </w:r>
      <w:hyperlink r:id="rId119">
        <w:r>
          <w:rPr>
            <w:rStyle w:val="Hyperlink"/>
            <w:lang w:val="en-US"/>
          </w:rPr>
          <w:t xml:space="preserve">One Pattern, Used Again and Again</w:t>
        </w:r>
      </w:hyperlink>
      <w:r>
        <w:rPr>
          <w:lang w:val="en-US"/>
        </w:rPr>
        <w:t xml:space="preserve">,</w:t>
      </w:r>
      <w:r>
        <w:rPr>
          <w:lang w:val="en-US"/>
        </w:rPr>
        <w:t xml:space="preserve"> </w:t>
      </w:r>
      <w:hyperlink r:id="rId120">
        <w:r>
          <w:rPr>
            <w:rStyle w:val="Hyperlink"/>
            <w:lang w:val="en-US"/>
          </w:rPr>
          <w:t xml:space="preserve">Combustion: The Whole Trip at Once</w:t>
        </w:r>
      </w:hyperlink>
    </w:p>
    <w:p>
      <w:pPr>
        <w:pStyle w:val="Heading3"/>
      </w:pPr>
      <w:r>
        <w:rPr>
          <w:lang w:val="en-US"/>
        </w:rPr>
        <w:t xml:space="preserve">Weekly logistics</w:t>
      </w:r>
    </w:p>
    <w:p>
      <w:pPr>
        <w:pStyle w:val="Compact"/>
        <w:numPr>
          <w:ilvl w:val="0"/>
          <w:numId w:val="1032"/>
        </w:numPr>
      </w:pPr>
      <w:r>
        <w:rPr>
          <w:lang w:val="en-US"/>
        </w:rPr>
        <w:t xml:space="preserve">Activity: A39 (18.4–18.8)</w:t>
      </w:r>
    </w:p>
    <w:p>
      <w:pPr>
        <w:pStyle w:val="Compact"/>
        <w:numPr>
          <w:ilvl w:val="0"/>
          <w:numId w:val="1032"/>
        </w:numPr>
      </w:pPr>
      <w:r>
        <w:rPr>
          <w:lang w:val="en-US"/>
        </w:rPr>
        <w:t xml:space="preserve">Activity: A40 (18.9–18.11)</w:t>
      </w:r>
    </w:p>
    <w:p>
      <w:pPr>
        <w:pStyle w:val="Compact"/>
        <w:numPr>
          <w:ilvl w:val="0"/>
          <w:numId w:val="1032"/>
        </w:numPr>
      </w:pPr>
      <w:r>
        <w:rPr>
          <w:lang w:val="en-US"/>
        </w:rPr>
        <w:t xml:space="preserve">Also this week: Unit Quiz 4 (Ch. 15 + Ch. 17); Unit Quiz 5</w:t>
      </w:r>
      <w:r>
        <w:rPr>
          <w:lang w:val="en-US"/>
        </w:rPr>
        <w:t xml:space="preserve"> </w:t>
      </w:r>
      <w:r>
        <w:rPr>
          <w:lang w:val="en-US"/>
        </w:rPr>
        <w:t xml:space="preserve">(Ch. 18); TYC Outline work continues</w:t>
      </w:r>
    </w:p>
    <w:p>
      <w:pPr>
        <w:pStyle w:val="Compact"/>
        <w:numPr>
          <w:ilvl w:val="0"/>
          <w:numId w:val="1032"/>
        </w:numPr>
      </w:pPr>
      <w:r>
        <w:rPr>
          <w:lang w:val="en-US"/>
        </w:rPr>
        <w:t xml:space="preserve">Finals week: course potluck</w:t>
      </w:r>
    </w:p>
    <w:bookmarkEnd w:id="121"/>
    <w:bookmarkEnd w:id="122"/>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CHEM&amp;131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92" Target="https://mrkarlb.github.io/clarkcollegeGOBNomenclature/#acids" TargetMode="External" /><Relationship Type="http://schemas.openxmlformats.org/officeDocument/2006/relationships/hyperlink" Id="rId85" Target="https://mrkarlb.github.io/clarkcollegeGOBNomenclature/#alcohols" TargetMode="External" /><Relationship Type="http://schemas.openxmlformats.org/officeDocument/2006/relationships/hyperlink" Id="rId77" Target="https://mrkarlb.github.io/clarkcollegeGOBNomenclature/#alkanes" TargetMode="External" /><Relationship Type="http://schemas.openxmlformats.org/officeDocument/2006/relationships/hyperlink" Id="rId82" Target="https://mrkarlb.github.io/clarkcollegeGOBNomenclature/#alkenes" TargetMode="External" /><Relationship Type="http://schemas.openxmlformats.org/officeDocument/2006/relationships/hyperlink" Id="rId97" Target="https://mrkarlb.github.io/clarkcollegeGOBNomenclature/#amines" TargetMode="External" /><Relationship Type="http://schemas.openxmlformats.org/officeDocument/2006/relationships/hyperlink" Id="rId83" Target="https://mrkarlb.github.io/clarkcollegeGOBNomenclature/#aromatics" TargetMode="External" /><Relationship Type="http://schemas.openxmlformats.org/officeDocument/2006/relationships/hyperlink" Id="rId76" Target="https://mrkarlb.github.io/clarkcollegeGOBNomenclature/#build" TargetMode="External" /><Relationship Type="http://schemas.openxmlformats.org/officeDocument/2006/relationships/hyperlink" Id="rId90" Target="https://mrkarlb.github.io/clarkcollegeGOBNomenclature/#carbonyls" TargetMode="External" /><Relationship Type="http://schemas.openxmlformats.org/officeDocument/2006/relationships/hyperlink" Id="rId91" Target="https://mrkarlb.github.io/clarkcollegeGOBNomenclature/#chirality" TargetMode="External" /><Relationship Type="http://schemas.openxmlformats.org/officeDocument/2006/relationships/hyperlink" Id="rId107" Target="https://mrkarlb.github.io/clarkcollegeGOBNomenclature/#fatty-acids" TargetMode="External" /><Relationship Type="http://schemas.openxmlformats.org/officeDocument/2006/relationships/hyperlink" Id="rId102" Target="https://mrkarlb.github.io/clarkcollegeGOBNomenclature/#fischer" TargetMode="External" /><Relationship Type="http://schemas.openxmlformats.org/officeDocument/2006/relationships/hyperlink" Id="rId113" Target="https://mrkarlb.github.io/clarkcollegeGOBNomenclature/#heterocycles" TargetMode="External" /><Relationship Type="http://schemas.openxmlformats.org/officeDocument/2006/relationships/hyperlink" Id="rId115" Target="https://mrkarlb.github.io/clarkcollegeGOBNomenclature/#phosphates" TargetMode="External" /><Relationship Type="http://schemas.openxmlformats.org/officeDocument/2006/relationships/hyperlink" Id="rId112" Target="https://mrkarlb.github.io/clarkcollegeGOBNomenclature/#steroids" TargetMode="External" /><Relationship Type="http://schemas.openxmlformats.org/officeDocument/2006/relationships/hyperlink" Id="rId95" Target="https://mrkarlb.github.io/clarkcollegeGOBNomenclature/reactions.html#acids" TargetMode="External" /><Relationship Type="http://schemas.openxmlformats.org/officeDocument/2006/relationships/hyperlink" Id="rId87" Target="https://mrkarlb.github.io/clarkcollegeGOBNomenclature/reactions.html#addelim" TargetMode="External" /><Relationship Type="http://schemas.openxmlformats.org/officeDocument/2006/relationships/hyperlink" Id="rId88" Target="https://mrkarlb.github.io/clarkcollegeGOBNomenclature/reactions.html#alcohols" TargetMode="External" /><Relationship Type="http://schemas.openxmlformats.org/officeDocument/2006/relationships/hyperlink" Id="rId99" Target="https://mrkarlb.github.io/clarkcollegeGOBNomenclature/reactions.html#amines" TargetMode="External" /><Relationship Type="http://schemas.openxmlformats.org/officeDocument/2006/relationships/hyperlink" Id="rId109" Target="https://mrkarlb.github.io/clarkcollegeGOBNomenclature/reactions.html#benedicts" TargetMode="External" /><Relationship Type="http://schemas.openxmlformats.org/officeDocument/2006/relationships/hyperlink" Id="rId120" Target="https://mrkarlb.github.io/clarkcollegeGOBNomenclature/reactions.html#combustion" TargetMode="External" /><Relationship Type="http://schemas.openxmlformats.org/officeDocument/2006/relationships/hyperlink" Id="rId98" Target="https://mrkarlb.github.io/clarkcollegeGOBNomenclature/reactions.html#condensation" TargetMode="External" /><Relationship Type="http://schemas.openxmlformats.org/officeDocument/2006/relationships/hyperlink" Id="rId104" Target="https://mrkarlb.github.io/clarkcollegeGOBNomenclature/reactions.html#enzyme-names" TargetMode="External" /><Relationship Type="http://schemas.openxmlformats.org/officeDocument/2006/relationships/hyperlink" Id="rId94" Target="https://mrkarlb.github.io/clarkcollegeGOBNomenclature/reactions.html#esters" TargetMode="External" /><Relationship Type="http://schemas.openxmlformats.org/officeDocument/2006/relationships/hyperlink" Id="rId105" Target="https://mrkarlb.github.io/clarkcollegeGOBNomenclature/reactions.html#hemiacetal" TargetMode="External" /><Relationship Type="http://schemas.openxmlformats.org/officeDocument/2006/relationships/hyperlink" Id="rId103" Target="https://mrkarlb.github.io/clarkcollegeGOBNomenclature/reactions.html#hydrolysis" TargetMode="External" /><Relationship Type="http://schemas.openxmlformats.org/officeDocument/2006/relationships/hyperlink" Id="rId86" Target="https://mrkarlb.github.io/clarkcollegeGOBNomenclature/reactions.html#identify" TargetMode="External" /><Relationship Type="http://schemas.openxmlformats.org/officeDocument/2006/relationships/hyperlink" Id="rId116" Target="https://mrkarlb.github.io/clarkcollegeGOBNomenclature/reactions.html#metabolism" TargetMode="External" /><Relationship Type="http://schemas.openxmlformats.org/officeDocument/2006/relationships/hyperlink" Id="rId110" Target="https://mrkarlb.github.io/clarkcollegeGOBNomenclature/reactions.html#other-additions" TargetMode="External" /><Relationship Type="http://schemas.openxmlformats.org/officeDocument/2006/relationships/hyperlink" Id="rId119" Target="https://mrkarlb.github.io/clarkcollegeGOBNomenclature/reactions.html#pattern" TargetMode="External" /><Relationship Type="http://schemas.openxmlformats.org/officeDocument/2006/relationships/hyperlink" Id="rId93" Target="https://mrkarlb.github.io/clarkcollegeGOBNomenclature/reactions.html#redox" TargetMode="External" /><Relationship Type="http://schemas.openxmlformats.org/officeDocument/2006/relationships/hyperlink" Id="rId117" Target="https://mrkarlb.github.io/clarkcollegeGOBNomenclature/reactions.html#redox-pair" TargetMode="External" /><Relationship Type="http://schemas.openxmlformats.org/officeDocument/2006/relationships/hyperlink" Id="rId108" Target="https://mrkarlb.github.io/clarkcollegeGOBNomenclature/reactions.html#sugar-redox" TargetMode="External" /><Relationship Type="http://schemas.openxmlformats.org/officeDocument/2006/relationships/hyperlink" Id="rId100" Target="https://mrkarlb.github.io/clarkcollegeGOBNomenclature/reactions.html#zwitterions" TargetMode="External" /><Relationship Type="http://schemas.openxmlformats.org/officeDocument/2006/relationships/hyperlink" Id="rId80" Target="https://mrkarlb.github.io/clarkcollegeGOBStructures/shape.html#imf-properties" TargetMode="External" /><Relationship Type="http://schemas.openxmlformats.org/officeDocument/2006/relationships/hyperlink" Id="rId79" Target="https://mrkarlb.github.io/clarkcollegeGOBStructures/shape.html#polarity" TargetMode="External" /><Relationship Type="http://schemas.openxmlformats.org/officeDocument/2006/relationships/hyperlink" Id="rId78" Target="https://mrkarlb.github.io/clarkcollegeGOBStructures/shape.html#shape"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92" Target="https://mrkarlb.github.io/clarkcollegeGOBNomenclature/#acids" TargetMode="External" /><Relationship Type="http://schemas.openxmlformats.org/officeDocument/2006/relationships/hyperlink" Id="rId85" Target="https://mrkarlb.github.io/clarkcollegeGOBNomenclature/#alcohols" TargetMode="External" /><Relationship Type="http://schemas.openxmlformats.org/officeDocument/2006/relationships/hyperlink" Id="rId77" Target="https://mrkarlb.github.io/clarkcollegeGOBNomenclature/#alkanes" TargetMode="External" /><Relationship Type="http://schemas.openxmlformats.org/officeDocument/2006/relationships/hyperlink" Id="rId82" Target="https://mrkarlb.github.io/clarkcollegeGOBNomenclature/#alkenes" TargetMode="External" /><Relationship Type="http://schemas.openxmlformats.org/officeDocument/2006/relationships/hyperlink" Id="rId97" Target="https://mrkarlb.github.io/clarkcollegeGOBNomenclature/#amines" TargetMode="External" /><Relationship Type="http://schemas.openxmlformats.org/officeDocument/2006/relationships/hyperlink" Id="rId83" Target="https://mrkarlb.github.io/clarkcollegeGOBNomenclature/#aromatics" TargetMode="External" /><Relationship Type="http://schemas.openxmlformats.org/officeDocument/2006/relationships/hyperlink" Id="rId76" Target="https://mrkarlb.github.io/clarkcollegeGOBNomenclature/#build" TargetMode="External" /><Relationship Type="http://schemas.openxmlformats.org/officeDocument/2006/relationships/hyperlink" Id="rId90" Target="https://mrkarlb.github.io/clarkcollegeGOBNomenclature/#carbonyls" TargetMode="External" /><Relationship Type="http://schemas.openxmlformats.org/officeDocument/2006/relationships/hyperlink" Id="rId91" Target="https://mrkarlb.github.io/clarkcollegeGOBNomenclature/#chirality" TargetMode="External" /><Relationship Type="http://schemas.openxmlformats.org/officeDocument/2006/relationships/hyperlink" Id="rId107" Target="https://mrkarlb.github.io/clarkcollegeGOBNomenclature/#fatty-acids" TargetMode="External" /><Relationship Type="http://schemas.openxmlformats.org/officeDocument/2006/relationships/hyperlink" Id="rId102" Target="https://mrkarlb.github.io/clarkcollegeGOBNomenclature/#fischer" TargetMode="External" /><Relationship Type="http://schemas.openxmlformats.org/officeDocument/2006/relationships/hyperlink" Id="rId113" Target="https://mrkarlb.github.io/clarkcollegeGOBNomenclature/#heterocycles" TargetMode="External" /><Relationship Type="http://schemas.openxmlformats.org/officeDocument/2006/relationships/hyperlink" Id="rId115" Target="https://mrkarlb.github.io/clarkcollegeGOBNomenclature/#phosphates" TargetMode="External" /><Relationship Type="http://schemas.openxmlformats.org/officeDocument/2006/relationships/hyperlink" Id="rId112" Target="https://mrkarlb.github.io/clarkcollegeGOBNomenclature/#steroids" TargetMode="External" /><Relationship Type="http://schemas.openxmlformats.org/officeDocument/2006/relationships/hyperlink" Id="rId95" Target="https://mrkarlb.github.io/clarkcollegeGOBNomenclature/reactions.html#acids" TargetMode="External" /><Relationship Type="http://schemas.openxmlformats.org/officeDocument/2006/relationships/hyperlink" Id="rId87" Target="https://mrkarlb.github.io/clarkcollegeGOBNomenclature/reactions.html#addelim" TargetMode="External" /><Relationship Type="http://schemas.openxmlformats.org/officeDocument/2006/relationships/hyperlink" Id="rId88" Target="https://mrkarlb.github.io/clarkcollegeGOBNomenclature/reactions.html#alcohols" TargetMode="External" /><Relationship Type="http://schemas.openxmlformats.org/officeDocument/2006/relationships/hyperlink" Id="rId99" Target="https://mrkarlb.github.io/clarkcollegeGOBNomenclature/reactions.html#amines" TargetMode="External" /><Relationship Type="http://schemas.openxmlformats.org/officeDocument/2006/relationships/hyperlink" Id="rId109" Target="https://mrkarlb.github.io/clarkcollegeGOBNomenclature/reactions.html#benedicts" TargetMode="External" /><Relationship Type="http://schemas.openxmlformats.org/officeDocument/2006/relationships/hyperlink" Id="rId120" Target="https://mrkarlb.github.io/clarkcollegeGOBNomenclature/reactions.html#combustion" TargetMode="External" /><Relationship Type="http://schemas.openxmlformats.org/officeDocument/2006/relationships/hyperlink" Id="rId98" Target="https://mrkarlb.github.io/clarkcollegeGOBNomenclature/reactions.html#condensation" TargetMode="External" /><Relationship Type="http://schemas.openxmlformats.org/officeDocument/2006/relationships/hyperlink" Id="rId104" Target="https://mrkarlb.github.io/clarkcollegeGOBNomenclature/reactions.html#enzyme-names" TargetMode="External" /><Relationship Type="http://schemas.openxmlformats.org/officeDocument/2006/relationships/hyperlink" Id="rId94" Target="https://mrkarlb.github.io/clarkcollegeGOBNomenclature/reactions.html#esters" TargetMode="External" /><Relationship Type="http://schemas.openxmlformats.org/officeDocument/2006/relationships/hyperlink" Id="rId105" Target="https://mrkarlb.github.io/clarkcollegeGOBNomenclature/reactions.html#hemiacetal" TargetMode="External" /><Relationship Type="http://schemas.openxmlformats.org/officeDocument/2006/relationships/hyperlink" Id="rId103" Target="https://mrkarlb.github.io/clarkcollegeGOBNomenclature/reactions.html#hydrolysis" TargetMode="External" /><Relationship Type="http://schemas.openxmlformats.org/officeDocument/2006/relationships/hyperlink" Id="rId86" Target="https://mrkarlb.github.io/clarkcollegeGOBNomenclature/reactions.html#identify" TargetMode="External" /><Relationship Type="http://schemas.openxmlformats.org/officeDocument/2006/relationships/hyperlink" Id="rId116" Target="https://mrkarlb.github.io/clarkcollegeGOBNomenclature/reactions.html#metabolism" TargetMode="External" /><Relationship Type="http://schemas.openxmlformats.org/officeDocument/2006/relationships/hyperlink" Id="rId110" Target="https://mrkarlb.github.io/clarkcollegeGOBNomenclature/reactions.html#other-additions" TargetMode="External" /><Relationship Type="http://schemas.openxmlformats.org/officeDocument/2006/relationships/hyperlink" Id="rId119" Target="https://mrkarlb.github.io/clarkcollegeGOBNomenclature/reactions.html#pattern" TargetMode="External" /><Relationship Type="http://schemas.openxmlformats.org/officeDocument/2006/relationships/hyperlink" Id="rId93" Target="https://mrkarlb.github.io/clarkcollegeGOBNomenclature/reactions.html#redox" TargetMode="External" /><Relationship Type="http://schemas.openxmlformats.org/officeDocument/2006/relationships/hyperlink" Id="rId117" Target="https://mrkarlb.github.io/clarkcollegeGOBNomenclature/reactions.html#redox-pair" TargetMode="External" /><Relationship Type="http://schemas.openxmlformats.org/officeDocument/2006/relationships/hyperlink" Id="rId108" Target="https://mrkarlb.github.io/clarkcollegeGOBNomenclature/reactions.html#sugar-redox" TargetMode="External" /><Relationship Type="http://schemas.openxmlformats.org/officeDocument/2006/relationships/hyperlink" Id="rId100" Target="https://mrkarlb.github.io/clarkcollegeGOBNomenclature/reactions.html#zwitterions" TargetMode="External" /><Relationship Type="http://schemas.openxmlformats.org/officeDocument/2006/relationships/hyperlink" Id="rId80" Target="https://mrkarlb.github.io/clarkcollegeGOBStructures/shape.html#imf-properties" TargetMode="External" /><Relationship Type="http://schemas.openxmlformats.org/officeDocument/2006/relationships/hyperlink" Id="rId79" Target="https://mrkarlb.github.io/clarkcollegeGOBStructures/shape.html#polarity" TargetMode="External" /><Relationship Type="http://schemas.openxmlformats.org/officeDocument/2006/relationships/hyperlink" Id="rId78" Target="https://mrkarlb.github.io/clarkcollegeGOBStructures/shape.html#shape"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Introduction to Organic and Biochemistry</dc:title>
  <dc:creator>Dr. Karl Bailey (Dr. B), Clark College</dc:creator>
  <dc:language>en-US</dc:language>
  <dc:subject>CHEM&amp;131 course syllabus and week-by-week content guide</dc:subject>
  <cp:keywords>CHEM&amp;131, syllabus, Clark College</cp:keywords>
  <dcterms:created xsi:type="dcterms:W3CDTF">2026-10-08T03:03:08Z</dcterms:created>
  <dcterms:modified xsi:type="dcterms:W3CDTF">2026-10-08T03:03:08Z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