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CHEM&amp;121: Introduction to Chemistry</w:t>
      </w:r>
    </w:p>
    <w:bookmarkStart w:id="9" w:name="why-this-course-why-you"/>
    <w:p>
      <w:pPr>
        <w:pStyle w:val="Heading1"/>
      </w:pPr>
      <w:r>
        <w:t xml:space="preserve">Why This Course, Why You</w:t>
      </w:r>
    </w:p>
    <w:p>
      <w:pPr>
        <w:pStyle w:val="FirstParagraph"/>
      </w:pPr>
      <w:r>
        <w:t xml:space="preserve">Chemistry is the foundation of the human body itself — the foods you eat and the environment around you determines physiological impacts and outcomes at a (bio)chemical level. This course exists to build the specific chemistry reasoning health professionals actually use like dosage calculations, preparing solutions, gases, and data and information literacy – things that shows up constantly in clinical work. So, this isn’t chemistry for its own sake — it’s a foundation your future career gets built on.</w:t>
      </w:r>
    </w:p>
    <w:p>
      <w:pPr>
        <w:pStyle w:val="BodyText"/>
      </w:pPr>
      <w:r>
        <w:t xml:space="preserve">Chemistry also puts a spotlight on how comfortable you are with learning itself. This isn’t easy for anyone, because it’s more than recalling facts and getting things right — it’s being comfortable in the space between what you know and what you don’t yet. Real understanding comes with time and repetition, and there are no shortcuts. Everything in this syllabus is built around getting you through that process, not around catching you out.</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CHEM&amp;121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 see About the Lab Requirement for how a missed lab is handled)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Getting Started: Course Orientation,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CHEM&amp;121: Introduction to Chemistry (Pre-Health)</w:t>
            </w:r>
          </w:p>
        </w:tc>
      </w:tr>
      <w:tr>
        <w:tc>
          <w:tcPr/>
          <w:p>
            <w:pPr>
              <w:pStyle w:val="Compact"/>
            </w:pPr>
            <w:r>
              <w:rPr>
                <w:b/>
                <w:bCs/>
              </w:rPr>
              <w:t xml:space="preserve">Course Nbr/Sec</w:t>
            </w:r>
          </w:p>
        </w:tc>
        <w:tc>
          <w:tcPr/>
          <w:p>
            <w:pPr>
              <w:pStyle w:val="Compact"/>
            </w:pPr>
            <w:r>
              <w:t xml:space="preserve">18405/18406, 18407/18408</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222, Mo/We 2:00–3:50 PM (18405) or Mo/We 5:00–6:50 PM (18407).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twice-weekly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MATH 96 (grade of</w:t>
            </w:r>
            <w:r>
              <w:t xml:space="preserve"> </w:t>
            </w:r>
            <w:r>
              <w:t xml:space="preserve">“C”</w:t>
            </w:r>
            <w:r>
              <w:t xml:space="preserve"> </w:t>
            </w:r>
            <w:r>
              <w:t xml:space="preserve">or higher), or placement into Math level 45.</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Topics in general chemistry applicable to students seeking a 2-year degree in the health-occupations fields. Unit-factor method is applied to problem solving. Topics covered include units of measurement, atomic structure, chemical bonding, energy, the mole concept, nomenclature of inorganic compounds, writing and balancing equations, properties of gases, solutions and colloids, reaction rates and equilibrium, acids, bases and salts, radiation and health.</w:t>
            </w:r>
            <w:r>
              <w:rPr>
                <w:b/>
                <w:bCs/>
              </w:rPr>
              <w:t xml:space="preserve">What that means in practice:</w:t>
            </w:r>
            <w:r>
              <w:t xml:space="preserve"> </w:t>
            </w:r>
            <w:r>
              <w:t xml:space="preserve">You’ll learn to think like a health professional needs to think about chemistry — using math and unit conversions to solve real clinical-style problems, not just memorizing facts. Expect this course to feel like a math class and a foreign-language class rolled together: we use conversions from day one, every week, in both discussion and lab.</w:t>
            </w:r>
          </w:p>
        </w:tc>
      </w:tr>
    </w:tbl>
    <w:bookmarkEnd w:id="15"/>
    <w:bookmarkStart w:id="21" w:name="welcome-to-class"/>
    <w:p>
      <w:pPr>
        <w:pStyle w:val="Heading1"/>
      </w:pPr>
      <w:r>
        <w:t xml:space="preserve">Welcome to Class!</w:t>
      </w:r>
    </w:p>
    <w:p>
      <w:pPr>
        <w:pStyle w:val="FirstParagraph"/>
      </w:pPr>
      <w:r>
        <w:rPr>
          <w:i/>
          <w:iCs/>
        </w:rPr>
        <w:t xml:space="preserve">TL;DR: No lectures — everything happens through weekly team discussions and hands-on labs. Show up, stay engaged, and ask for help before you’re stuck.</w:t>
      </w:r>
    </w:p>
    <w:p>
      <w:pPr>
        <w:pStyle w:val="BodyText"/>
      </w:pPr>
      <w:r>
        <w:t xml:space="preserve">Welcome, welcome, welcome! I’m Dr. B (Dr. Karl Bailey, he/him), and I’m so glad to be your Chemistry instructor this term. However you landed in this course, I’m glad you’re here — let’s get into how it actually runs, week to week.</w:t>
      </w:r>
    </w:p>
    <w:p>
      <w:pPr>
        <w:pStyle w:val="BlockText"/>
      </w:pPr>
      <w:r>
        <w:rPr>
          <w:b/>
          <w:bCs/>
        </w:rPr>
        <w:t xml:space="preserve">Dr. B’s Note:</w:t>
      </w:r>
      <w:r>
        <w:t xml:space="preserve"> </w:t>
      </w:r>
      <w:r>
        <w:rPr>
          <w:i/>
          <w:iCs/>
        </w:rPr>
        <w:t xml:space="preserve">Most students who stick with the weekly rhythm and stay engaged do well. The difference isn’t talent, it’s showing up consistently. Give yourself a fighting chance.</w:t>
      </w:r>
    </w:p>
    <w:bookmarkStart w:id="16" w:name="Xe66c6beb7eb2ec0e95c71e590f49bdb9df56704"/>
    <w:p>
      <w:pPr>
        <w:pStyle w:val="Heading2"/>
      </w:pPr>
      <w:r>
        <w:t xml:space="preserve">What preparation/skills do I need for this class?</w:t>
      </w:r>
    </w:p>
    <w:p>
      <w:pPr>
        <w:pStyle w:val="FirstParagraph"/>
      </w:pPr>
      <w:r>
        <w:t xml:space="preserve">CHEM is a math class combined with a foreign language course, and we move fast. We use math conversions from day one and keep using them every week, in both discussion and lab. If your math skills need more than a light dusting-off, consider brushing up before or alongside this course — most students taking CHEM&amp;121 find the math the hardest part, not the chemistry itself.</w:t>
      </w:r>
    </w:p>
    <w:bookmarkEnd w:id="16"/>
    <w:bookmarkStart w:id="17" w:name="what-can-i-expect-in-class"/>
    <w:p>
      <w:pPr>
        <w:pStyle w:val="Heading2"/>
      </w:pPr>
      <w:r>
        <w:t xml:space="preserve">What can I expect in class?</w:t>
      </w:r>
    </w:p>
    <w:p>
      <w:pPr>
        <w:pStyle w:val="FirstParagraph"/>
      </w:pPr>
      <w:r>
        <w:t xml:space="preserve">This course is entirely discussion-based online — there are no traditional lectures. Instead, you’ll work through weekly Activities from your Chemfolio in a 3-2-1 Team Discussion format and apply what you’re learning hands-on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 Lab Results (20 pts)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2, 5, 7, 9, and 10.</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Monday &amp; Wednesday, 1:00–2:00 PM and 4:00–5:00 PM (1 hour before each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CHEM&amp;121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use AI to create anything you submit,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and LLMs like DeepSeek may not be used to create any part of the work you submit in this course.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That includes</w:t>
      </w:r>
      <w:r>
        <w:t xml:space="preserve"> </w:t>
      </w:r>
      <w:r>
        <w:t xml:space="preserve">“brainstormed”</w:t>
      </w:r>
      <w:r>
        <w:t xml:space="preserve"> </w:t>
      </w:r>
      <w:r>
        <w:t xml:space="preserve">material or ideas — AI cannot brainstorm for you, even if you credit it.</w:t>
      </w:r>
      <w:r>
        <w:t xml:space="preserve"> </w:t>
      </w:r>
      <w:r>
        <w:rPr>
          <w:b/>
          <w:bCs/>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sentences or paragraphs suggested by an app — not even with quotation marks and a citation.</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and these skills tie directly to Clark’s General Education Competencies.</w:t>
      </w:r>
    </w:p>
    <w:p>
      <w:pPr>
        <w:pStyle w:val="BodyText"/>
      </w:pPr>
      <w:r>
        <w:t xml:space="preserve">General Education at Clark College empowers students to become informed, adaptable, and engaged community members who are prepared to contribute to a more just and equitable society. Through the competencies below, students in this class build a foundation of skills and knowledge to achieve their personal and professional goals:</w:t>
      </w:r>
    </w:p>
    <w:p>
      <w:pPr>
        <w:pStyle w:val="Compact"/>
        <w:numPr>
          <w:ilvl w:val="0"/>
          <w:numId w:val="1007"/>
        </w:numPr>
      </w:pPr>
      <w:r>
        <w:rPr>
          <w:b/>
          <w:bCs/>
        </w:rPr>
        <w:t xml:space="preserve">Critical Thinking 3</w:t>
      </w:r>
      <w:r>
        <w:t xml:space="preserve"> </w:t>
      </w:r>
      <w:r>
        <w:t xml:space="preserve">— Formulate well-reasoned arguments supported by evidence</w:t>
      </w:r>
    </w:p>
    <w:p>
      <w:pPr>
        <w:pStyle w:val="Compact"/>
        <w:numPr>
          <w:ilvl w:val="0"/>
          <w:numId w:val="1007"/>
        </w:numPr>
      </w:pPr>
      <w:r>
        <w:rPr>
          <w:b/>
          <w:bCs/>
        </w:rPr>
        <w:t xml:space="preserve">Critical Thinking 4</w:t>
      </w:r>
      <w:r>
        <w:t xml:space="preserve"> </w:t>
      </w:r>
      <w:r>
        <w:t xml:space="preserve">— Apply creative thinking skills to generate new ideas and solve problems</w:t>
      </w:r>
    </w:p>
    <w:p>
      <w:pPr>
        <w:pStyle w:val="Compact"/>
        <w:numPr>
          <w:ilvl w:val="0"/>
          <w:numId w:val="1007"/>
        </w:numPr>
      </w:pPr>
      <w:r>
        <w:rPr>
          <w:b/>
          <w:bCs/>
        </w:rPr>
        <w:t xml:space="preserve">Problem-Solving 1</w:t>
      </w:r>
      <w:r>
        <w:t xml:space="preserve"> </w:t>
      </w:r>
      <w:r>
        <w:t xml:space="preserve">— Accurately define a problem</w:t>
      </w:r>
    </w:p>
    <w:p>
      <w:pPr>
        <w:pStyle w:val="Compact"/>
        <w:numPr>
          <w:ilvl w:val="0"/>
          <w:numId w:val="1007"/>
        </w:numPr>
      </w:pPr>
      <w:r>
        <w:rPr>
          <w:b/>
          <w:bCs/>
        </w:rPr>
        <w:t xml:space="preserve">Communication 3</w:t>
      </w:r>
      <w:r>
        <w:t xml:space="preserve"> </w:t>
      </w:r>
      <w:r>
        <w:t xml:space="preserve">— Apply communication skills and concepts to real-world situations</w:t>
      </w:r>
    </w:p>
    <w:p>
      <w:pPr>
        <w:pStyle w:val="Compact"/>
        <w:numPr>
          <w:ilvl w:val="0"/>
          <w:numId w:val="1007"/>
        </w:numPr>
      </w:pPr>
      <w:r>
        <w:rPr>
          <w:b/>
          <w:bCs/>
        </w:rPr>
        <w:t xml:space="preserve">Civic &amp; Global Consciousness 1</w:t>
      </w:r>
      <w:r>
        <w:t xml:space="preserve"> </w:t>
      </w:r>
      <w:r>
        <w:t xml:space="preserve">— Explain global issues, considering various perspectives</w:t>
      </w:r>
    </w:p>
    <w:p>
      <w:pPr>
        <w:pStyle w:val="Compact"/>
        <w:numPr>
          <w:ilvl w:val="0"/>
          <w:numId w:val="1007"/>
        </w:numPr>
      </w:pPr>
      <w:r>
        <w:rPr>
          <w:b/>
          <w:bCs/>
        </w:rPr>
        <w:t xml:space="preserve">Civic &amp; Global Consciousness 3</w:t>
      </w:r>
      <w:r>
        <w:t xml:space="preserve"> </w:t>
      </w:r>
      <w:r>
        <w:t xml:space="preserve">— Identify the requirements of responsible civic engagement</w:t>
      </w:r>
    </w:p>
    <w:p>
      <w:pPr>
        <w:pStyle w:val="FirstParagraph"/>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8"/>
        </w:numPr>
      </w:pPr>
      <w:r>
        <w:rPr>
          <w:b/>
          <w:bCs/>
        </w:rPr>
        <w:t xml:space="preserve">CLO1:</w:t>
      </w:r>
      <w:r>
        <w:t xml:space="preserve"> </w:t>
      </w:r>
      <w:r>
        <w:t xml:space="preserve">Applies the fundamental rules behind atomic structure and element reactivity to predict how bonds are formed and break, with context to physiology, pharmacology, and metabolism.</w:t>
      </w:r>
    </w:p>
    <w:p>
      <w:pPr>
        <w:pStyle w:val="Compact"/>
        <w:numPr>
          <w:ilvl w:val="0"/>
          <w:numId w:val="1008"/>
        </w:numPr>
      </w:pPr>
      <w:r>
        <w:rPr>
          <w:b/>
          <w:bCs/>
        </w:rPr>
        <w:t xml:space="preserve">CLO2:</w:t>
      </w:r>
      <w:r>
        <w:t xml:space="preserve"> </w:t>
      </w:r>
      <w:r>
        <w:t xml:space="preserve">Contrast the forces at play within and between molecules or ions with their emergent properties and water (hydrophilic) or fat solubility (hydrophobic) in medical or environmental contexts.</w:t>
      </w:r>
    </w:p>
    <w:p>
      <w:pPr>
        <w:pStyle w:val="Compact"/>
        <w:numPr>
          <w:ilvl w:val="0"/>
          <w:numId w:val="1008"/>
        </w:numPr>
      </w:pPr>
      <w:r>
        <w:rPr>
          <w:b/>
          <w:bCs/>
        </w:rPr>
        <w:t xml:space="preserve">CLO3:</w:t>
      </w:r>
      <w:r>
        <w:t xml:space="preserve"> </w:t>
      </w:r>
      <w:r>
        <w:t xml:space="preserve">Performs scaled-thinking and mathematical calculations to simplify and evaluate contextual problems that impact the community or environment using quantitative information.</w:t>
      </w:r>
    </w:p>
    <w:p>
      <w:pPr>
        <w:pStyle w:val="Compact"/>
        <w:numPr>
          <w:ilvl w:val="0"/>
          <w:numId w:val="1008"/>
        </w:numPr>
      </w:pPr>
      <w:r>
        <w:rPr>
          <w:b/>
          <w:bCs/>
        </w:rPr>
        <w:t xml:space="preserve">CLO4:</w:t>
      </w:r>
      <w:r>
        <w:t xml:space="preserve"> </w:t>
      </w:r>
      <w:r>
        <w:t xml:space="preserve">Compose opinions, interpretations, and solid evidence regarding chemical systems and determine their impact on society in everyday life.</w:t>
      </w:r>
    </w:p>
    <w:p>
      <w:pPr>
        <w:pStyle w:val="FirstParagraph"/>
      </w:pPr>
      <w:r>
        <w:t xml:space="preserve">The table below lists the learning outcomes for this course with the corresponding assessments, to support Clark’s General Education Competencies: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Course Outcomes</w:t>
            </w:r>
          </w:p>
        </w:tc>
        <w:tc>
          <w:tcPr/>
          <w:p>
            <w:pPr>
              <w:pStyle w:val="Compact"/>
            </w:pPr>
            <w:r>
              <w:t xml:space="preserve">Assessment of Course Outcomes</w:t>
            </w:r>
          </w:p>
        </w:tc>
      </w:tr>
      <w:tr>
        <w:tc>
          <w:tcPr/>
          <w:p>
            <w:pPr>
              <w:pStyle w:val="Compact"/>
            </w:pPr>
            <w:r>
              <w:t xml:space="preserve">CLO1</w:t>
            </w:r>
          </w:p>
        </w:tc>
        <w:tc>
          <w:tcPr/>
          <w:p>
            <w:pPr>
              <w:pStyle w:val="Compact"/>
            </w:pPr>
            <w:r>
              <w:t xml:space="preserve">ALEKS Problem Sets, 3-2-1 Team Posts, Lab Experiments, OOL Discussions, Final TYC Project</w:t>
            </w:r>
          </w:p>
        </w:tc>
      </w:tr>
      <w:tr>
        <w:tc>
          <w:tcPr/>
          <w:p>
            <w:pPr>
              <w:pStyle w:val="Compact"/>
            </w:pPr>
            <w:r>
              <w:t xml:space="preserve">CLO2</w:t>
            </w:r>
          </w:p>
        </w:tc>
        <w:tc>
          <w:tcPr/>
          <w:p>
            <w:pPr>
              <w:pStyle w:val="Compact"/>
            </w:pPr>
            <w:r>
              <w:t xml:space="preserve">Quizzes, ALEKS Problem Sets, 3-2-1 Team Posts, Lab Experiments, Final TYC Project</w:t>
            </w:r>
          </w:p>
        </w:tc>
      </w:tr>
      <w:tr>
        <w:tc>
          <w:tcPr/>
          <w:p>
            <w:pPr>
              <w:pStyle w:val="Compact"/>
            </w:pPr>
            <w:r>
              <w:t xml:space="preserve">CLO3</w:t>
            </w:r>
          </w:p>
        </w:tc>
        <w:tc>
          <w:tcPr/>
          <w:p>
            <w:pPr>
              <w:pStyle w:val="Compact"/>
            </w:pPr>
            <w:r>
              <w:t xml:space="preserve">Quizzes, ALEKS Problem Sets, 3-2-1 Team Posts, Lab Experiments, Final TYC Project</w:t>
            </w:r>
          </w:p>
        </w:tc>
      </w:tr>
      <w:tr>
        <w:tc>
          <w:tcPr/>
          <w:p>
            <w:pPr>
              <w:pStyle w:val="Compact"/>
            </w:pPr>
            <w:r>
              <w:t xml:space="preserve">CLO4</w:t>
            </w:r>
          </w:p>
        </w:tc>
        <w:tc>
          <w:tcPr/>
          <w:p>
            <w:pPr>
              <w:pStyle w:val="Compact"/>
            </w:pPr>
            <w:r>
              <w:t xml:space="preserve">OOL Discussions, Lab Experiments, Final TYC Project</w:t>
            </w:r>
          </w:p>
        </w:tc>
      </w:tr>
    </w:tbl>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2, 5, 7, 9, and 10)</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rPr>
          <w:b/>
          <w:bCs/>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9"/>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9"/>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9"/>
        </w:numPr>
      </w:pPr>
      <w:r>
        <w:t xml:space="preserve">If you miss two experiments, the second missed lab is scored zero.</w:t>
      </w:r>
    </w:p>
    <w:p>
      <w:pPr>
        <w:pStyle w:val="Compact"/>
        <w:numPr>
          <w:ilvl w:val="0"/>
          <w:numId w:val="1009"/>
        </w:numPr>
      </w:pPr>
      <w:r>
        <w:t xml:space="preserve">Missing three weeks of lab, or having two incomplete labs, means you cannot pass the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77</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80</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10"/>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10"/>
        </w:numPr>
      </w:pPr>
      <w:r>
        <w:t xml:space="preserve">In-person lab attendance and the Final TYC Project have no grace period.</w:t>
      </w:r>
    </w:p>
    <w:p>
      <w:pPr>
        <w:pStyle w:val="Compact"/>
        <w:numPr>
          <w:ilvl w:val="0"/>
          <w:numId w:val="1010"/>
        </w:numPr>
      </w:pPr>
      <w:r>
        <w:t xml:space="preserve">No due dates extend beyond the course end date.</w:t>
      </w:r>
    </w:p>
    <w:p>
      <w:pPr>
        <w:pStyle w:val="Compact"/>
        <w:numPr>
          <w:ilvl w:val="0"/>
          <w:numId w:val="1010"/>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Getting Started: Course Orientation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1"/>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1"/>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1"/>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1"/>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CHEM&amp;121: Introduction to Chemistry</dc:title>
  <dc:creator/>
  <cp:keywords/>
  <dcterms:created xsi:type="dcterms:W3CDTF">2026-09-22T18:00:29Z</dcterms:created>
  <dcterms:modified xsi:type="dcterms:W3CDTF">2026-09-22T18:00:29Z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chem121</vt:lpwstr>
  </property>
  <property fmtid="{D5CDD505-2E9C-101B-9397-08002B2CF9AE}" pid="3" name="fullTitle">
    <vt:lpwstr>CHEM&amp;121: Introduction to Chemistry (Pre-Health)</vt:lpwstr>
  </property>
  <property fmtid="{D5CDD505-2E9C-101B-9397-08002B2CF9AE}" pid="4" name="instructor">
    <vt:lpwstr>Dr. Karl Bailey (Dr. B)</vt:lpwstr>
  </property>
  <property fmtid="{D5CDD505-2E9C-101B-9397-08002B2CF9AE}" pid="5" name="tabLabel">
    <vt:lpwstr>CHEM&amp;121</vt:lpwstr>
  </property>
  <property fmtid="{D5CDD505-2E9C-101B-9397-08002B2CF9AE}" pid="6" name="term">
    <vt:lpwstr>Fall 2026 (September 21 – December 10, 2026)</vt:lpwstr>
  </property>
</Properties>
</file>