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CHEM&amp;121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CHEM&amp;121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element reactivity as it applies to how bonds are formed and broken, with context to physiology, pharmacology, and metabolism.</w:t>
      </w:r>
    </w:p>
    <w:p>
      <w:pPr>
        <w:pStyle w:val="Compact"/>
        <w:numPr>
          <w:ilvl w:val="0"/>
          <w:numId w:val="1006"/>
        </w:numPr>
      </w:pPr>
      <w:r>
        <w:rPr>
          <w:b/>
          <w:bCs/>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pStyle w:val="Compact"/>
        <w:numPr>
          <w:ilvl w:val="0"/>
          <w:numId w:val="1006"/>
        </w:numPr>
      </w:pPr>
      <w:r>
        <w:rPr>
          <w:b/>
          <w:bCs/>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and schedule your own exams in myAccess</w:t>
        </w:r>
      </w:hyperlink>
      <w:r>
        <w:t xml:space="preserve"> </w:t>
      </w:r>
      <w:r>
        <w:t xml:space="preserve">— 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2026-09-17T15:48:29Z</dcterms:created>
  <dcterms:modified xsi:type="dcterms:W3CDTF">2026-09-17T15:48:29Z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