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 Chemistry is also the foundation of the human body itself — the foods you eat and the environment around you determine physiological impacts and outcomes at a chemical level.</w:t>
      </w:r>
    </w:p>
    <w:p>
      <w:pPr>
        <w:pStyle w:val="BodyText"/>
      </w:pPr>
      <w:r>
        <w:t xml:space="preserve">This term will ask more from you than the last. Organic chemistry is much more abstract, no math and no formulas. This term structure is function, so time on task and repetition is how we get more comfortable recognizing structures to better predict their function. This term more than the last, there are no shortcuts. It is the same for everyone, and everyone makes it through successfully. Use the first three modules to invest and build a solid foundation for the rest of the term.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[price TBD]</w:t>
            </w:r>
            <w:r>
              <w:t xml:space="preserve"> </w:t>
            </w:r>
            <w:r>
              <w:t xml:space="preserve">+</w:t>
            </w:r>
            <w:r>
              <w:t xml:space="preserve"> </w:t>
            </w:r>
            <w:r>
              <w:rPr>
                <w:b/>
                <w:bCs/>
              </w:rPr>
              <w:t xml:space="preserve">CHEM&amp;131 Lab Manual</w:t>
            </w:r>
            <w:r>
              <w:t xml:space="preserve"> </w:t>
            </w:r>
            <w:r>
              <w:rPr>
                <w:i/>
                <w:iCs/>
              </w:rPr>
              <w:t xml:space="preserve">[price TBD]</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Tuesday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AI can support your learning — don’t let it do the learning for you. See the AI Agreement below for exactly where the lines are.</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Discussions 30% · Labs 30% · Quizzes 20% · ALEKS Homework 10% · Final TYC Project 10%.</w:t>
      </w:r>
    </w:p>
    <w:p>
      <w:pPr>
        <w:pStyle w:val="BodyText"/>
      </w:pPr>
      <w:r>
        <w:rPr>
          <w:i/>
          <w:iCs/>
        </w:rPr>
        <w:t xml:space="preserve">(Working draft — the teaching team will confirm final category weights before the term begins.)</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b/>
          <w:bCs/>
        </w:rPr>
        <w:t xml:space="preserve">TL;DR:</w:t>
      </w:r>
      <w:r>
        <w:t xml:space="preserve"> </w:t>
      </w:r>
      <w:r>
        <w:t xml:space="preserve">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b/>
          <w:bCs/>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Tuesday</w:t>
            </w:r>
          </w:p>
        </w:tc>
        <w:tc>
          <w:tcPr/>
          <w:p>
            <w:pPr>
              <w:pStyle w:val="Compact"/>
            </w:pPr>
            <w:r>
              <w:t xml:space="preserve">OOL (Outside Of Lecture) discussion post due</w:t>
            </w:r>
          </w:p>
        </w:tc>
      </w:tr>
      <w:tr>
        <w:tc>
          <w:tcPr/>
          <w:p>
            <w:pPr>
              <w:pStyle w:val="Compact"/>
            </w:pPr>
            <w:r>
              <w:t xml:space="preserve">Wednesday</w:t>
            </w:r>
          </w:p>
        </w:tc>
        <w:tc>
          <w:tcPr/>
          <w:p>
            <w:pPr>
              <w:pStyle w:val="Compact"/>
            </w:pPr>
            <w:r>
              <w:t xml:space="preserve">First 3-2-1 Team discussion post due</w:t>
            </w:r>
          </w:p>
        </w:tc>
      </w:tr>
      <w:tr>
        <w:tc>
          <w:tcPr/>
          <w:p>
            <w:pPr>
              <w:pStyle w:val="Compact"/>
            </w:pPr>
            <w:r>
              <w:t xml:space="preserve">Thursday</w:t>
            </w:r>
          </w:p>
        </w:tc>
        <w:tc>
          <w:tcPr/>
          <w:p>
            <w:pPr>
              <w:pStyle w:val="Compact"/>
            </w:pPr>
            <w:r>
              <w:t xml:space="preserve">OOL replies due</w:t>
            </w:r>
          </w:p>
        </w:tc>
      </w:tr>
      <w:tr>
        <w:tc>
          <w:tcPr/>
          <w:p>
            <w:pPr>
              <w:pStyle w:val="Compact"/>
            </w:pPr>
            <w:r>
              <w:t xml:space="preserve">Friday</w:t>
            </w:r>
          </w:p>
        </w:tc>
        <w:tc>
          <w:tcPr/>
          <w:p>
            <w:pPr>
              <w:pStyle w:val="Compact"/>
            </w:pPr>
            <w:r>
              <w:t xml:space="preserve">Lab Intro upload due</w:t>
            </w:r>
          </w:p>
        </w:tc>
      </w:tr>
      <w:tr>
        <w:tc>
          <w:tcPr/>
          <w:p>
            <w:pPr>
              <w:pStyle w:val="Compact"/>
            </w:pPr>
            <w:r>
              <w:t xml:space="preserve">Sunday</w:t>
            </w:r>
          </w:p>
        </w:tc>
        <w:tc>
          <w:tcPr/>
          <w:p>
            <w:pPr>
              <w:pStyle w:val="Compac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b/>
          <w:bCs/>
        </w:rPr>
        <w:t xml:space="preserve">TL;DR:</w:t>
      </w:r>
      <w:r>
        <w:t xml:space="preserve"> </w:t>
      </w:r>
      <w:r>
        <w:t xml:space="preserve">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Student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b/>
          <w:bCs/>
        </w:rPr>
        <w:t xml:space="preserve">TL;DR:</w:t>
      </w:r>
      <w:r>
        <w:t xml:space="preserve"> </w:t>
      </w:r>
      <w:r>
        <w:t xml:space="preserve">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[edition/ISBN/price TBD]</w:t>
            </w:r>
            <w:r>
              <w:rPr>
                <w:b/>
                <w:bCs/>
              </w:rPr>
              <w:t xml:space="preserve">CHEM&amp;131 Lab Manual</w:t>
            </w:r>
            <w:r>
              <w:t xml:space="preserve"> </w:t>
            </w:r>
            <w:r>
              <w:t xml:space="preserve">(lab manual) — required.</w:t>
            </w:r>
            <w:r>
              <w:t xml:space="preserve"> </w:t>
            </w:r>
            <w:r>
              <w:rPr>
                <w:i/>
                <w:iCs/>
              </w:rPr>
              <w:t xml:space="preserve">[edition/ISBN/price TBD]</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5" w:name="what-are-the-course-agreements"/>
    <w:p>
      <w:pPr>
        <w:pStyle w:val="Heading1"/>
      </w:pPr>
      <w:r>
        <w:t xml:space="preserve">What Are the Course Agreements?</w:t>
      </w:r>
    </w:p>
    <w:p>
      <w:pPr>
        <w:pStyle w:val="FirstParagraph"/>
      </w:pPr>
      <w:r>
        <w:rPr>
          <w:b/>
          <w:bCs/>
        </w:rPr>
        <w:t xml:space="preserve">TL;DR:</w:t>
      </w:r>
      <w:r>
        <w:t xml:space="preserve"> </w:t>
      </w:r>
      <w:r>
        <w:t xml:space="preserve">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28">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29"/>
    <w:bookmarkStart w:id="33" w:name="X557e592dac108a6d1044d97136f1b079f25201c"/>
    <w:p>
      <w:pPr>
        <w:pStyle w:val="Heading2"/>
      </w:pPr>
      <w:r>
        <w:t xml:space="preserve">AI (Artificial Intelligence) Guidelines — Community AI Agreement</w:t>
      </w:r>
    </w:p>
    <w:p>
      <w:pPr>
        <w:pStyle w:val="FirstParagraph"/>
      </w:pPr>
      <w:r>
        <w:rPr>
          <w:b/>
          <w:bCs/>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
          <w:bCs/>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0" w:name="four-principles"/>
    <w:p>
      <w:pPr>
        <w:pStyle w:val="Heading3"/>
      </w:pPr>
      <w:r>
        <w:t xml:space="preserve">Four Principles</w:t>
      </w:r>
    </w:p>
    <w:p>
      <w:pPr>
        <w:pStyle w:val="Compact"/>
        <w:numPr>
          <w:ilvl w:val="0"/>
          <w:numId w:val="1002"/>
        </w:numPr>
      </w:pPr>
      <w:r>
        <w:rPr>
          <w:b/>
          <w:bCs/>
        </w:rPr>
        <w:t xml:space="preserve">Caution</w:t>
      </w:r>
      <w:r>
        <w:t xml:space="preserve"> </w:t>
      </w:r>
      <w:r>
        <w:t xml:space="preserve">— AI can be wrong. Double-check with class notes, labs, and trusted sources.</w:t>
      </w:r>
    </w:p>
    <w:p>
      <w:pPr>
        <w:pStyle w:val="Compact"/>
        <w:numPr>
          <w:ilvl w:val="0"/>
          <w:numId w:val="1002"/>
        </w:numPr>
      </w:pPr>
      <w:r>
        <w:rPr>
          <w:b/>
          <w:bCs/>
        </w:rPr>
        <w:t xml:space="preserve">Trust</w:t>
      </w:r>
      <w:r>
        <w:t xml:space="preserve"> </w:t>
      </w:r>
      <w:r>
        <w:t xml:space="preserve">— Honesty builds our learning community. Declaring AI use has no penalty. Hiding it does.</w:t>
      </w:r>
    </w:p>
    <w:p>
      <w:pPr>
        <w:pStyle w:val="Compact"/>
        <w:numPr>
          <w:ilvl w:val="0"/>
          <w:numId w:val="1002"/>
        </w:numPr>
      </w:pPr>
      <w:r>
        <w:rPr>
          <w:b/>
          <w:bCs/>
        </w:rPr>
        <w:t xml:space="preserve">Relevance</w:t>
      </w:r>
      <w:r>
        <w:t xml:space="preserve"> </w:t>
      </w:r>
      <w:r>
        <w:t xml:space="preserve">— Use AI to support learning, not to skip actually doing the work.</w:t>
      </w:r>
    </w:p>
    <w:p>
      <w:pPr>
        <w:pStyle w:val="Compact"/>
        <w:numPr>
          <w:ilvl w:val="0"/>
          <w:numId w:val="1002"/>
        </w:numPr>
      </w:pPr>
      <w:r>
        <w:rPr>
          <w:b/>
          <w:bCs/>
        </w:rPr>
        <w:t xml:space="preserve">Transparency</w:t>
      </w:r>
      <w:r>
        <w:t xml:space="preserve"> </w:t>
      </w:r>
      <w:r>
        <w:t xml:space="preserve">— Just declare it. Add</w:t>
      </w:r>
      <w:r>
        <w:t xml:space="preserve"> </w:t>
      </w:r>
      <w:r>
        <w:t xml:space="preserve">“This submission used AI.”</w:t>
      </w:r>
      <w:r>
        <w:t xml:space="preserve"> </w:t>
      </w:r>
      <w:r>
        <w:t xml:space="preserve">at the end of your lab answer or ALEKS work.</w:t>
      </w:r>
    </w:p>
    <w:bookmarkEnd w:id="30"/>
    <w:bookmarkStart w:id="31" w:name="by-assignment"/>
    <w:p>
      <w:pPr>
        <w:pStyle w:val="Heading3"/>
      </w:pPr>
      <w:r>
        <w:t xml:space="preserve">By Assignment</w:t>
      </w:r>
    </w:p>
    <w:p>
      <w:pPr>
        <w:pStyle w:val="Compact"/>
        <w:numPr>
          <w:ilvl w:val="0"/>
          <w:numId w:val="1003"/>
        </w:numPr>
      </w:pPr>
      <w:r>
        <w:rPr>
          <w:b/>
          <w:bCs/>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pStyle w:val="Compact"/>
        <w:numPr>
          <w:ilvl w:val="0"/>
          <w:numId w:val="1003"/>
        </w:numPr>
      </w:pPr>
      <w:r>
        <w:rPr>
          <w:b/>
          <w:bCs/>
        </w:rPr>
        <w:t xml:space="preserve">Labs</w:t>
      </w:r>
      <w:r>
        <w:t xml:space="preserve"> </w:t>
      </w:r>
      <w:r>
        <w:t xml:space="preserve">— OK to help interpret or reflect on your own data and results. Never make up, falsify, or use data that is not your own. Attribute AI use in all lab submissions.</w:t>
      </w:r>
    </w:p>
    <w:p>
      <w:pPr>
        <w:pStyle w:val="Compact"/>
        <w:numPr>
          <w:ilvl w:val="0"/>
          <w:numId w:val="1003"/>
        </w:numPr>
      </w:pPr>
      <w:r>
        <w:rPr>
          <w:b/>
          <w:bCs/>
        </w:rPr>
        <w:t xml:space="preserve">ALEKS Homework</w:t>
      </w:r>
      <w:r>
        <w:t xml:space="preserve"> </w:t>
      </w:r>
      <w:r>
        <w:t xml:space="preserve">— OK to support learning. Don’t just grab answers — this is exactly the category where leaning on AI defeats the purpose, which is why it’s weighted lowest in your grade.</w:t>
      </w:r>
    </w:p>
    <w:p>
      <w:pPr>
        <w:pStyle w:val="Compact"/>
        <w:numPr>
          <w:ilvl w:val="0"/>
          <w:numId w:val="1003"/>
        </w:numPr>
      </w:pPr>
      <w:r>
        <w:rPr>
          <w:b/>
          <w:bCs/>
        </w:rPr>
        <w:t xml:space="preserve">Quizzes &amp; Final TYC Project</w:t>
      </w:r>
      <w:r>
        <w:t xml:space="preserve"> </w:t>
      </w:r>
      <w:r>
        <w:t xml:space="preserve">— No AI allowed, at any level.</w:t>
      </w:r>
    </w:p>
    <w:bookmarkEnd w:id="31"/>
    <w:bookmarkStart w:id="32" w:name="follow-up"/>
    <w:p>
      <w:pPr>
        <w:pStyle w:val="Heading3"/>
      </w:pPr>
      <w:r>
        <w:t xml:space="preserve">Follow-Up</w:t>
      </w:r>
    </w:p>
    <w:p>
      <w:pPr>
        <w:pStyle w:val="Compact"/>
        <w:numPr>
          <w:ilvl w:val="0"/>
          <w:numId w:val="1004"/>
        </w:numPr>
      </w:pPr>
      <w:r>
        <w:rPr>
          <w:b/>
          <w:bCs/>
        </w:rPr>
        <w:t xml:space="preserve">Discussions</w:t>
      </w:r>
      <w:r>
        <w:t xml:space="preserve"> </w:t>
      </w:r>
      <w:r>
        <w:t xml:space="preserve">— AI-generated content in any post, reply, or Team Lead summary = zero credit for that submission, regardless of declaration. Repeated instances = academic integrity referral.</w:t>
      </w:r>
    </w:p>
    <w:p>
      <w:pPr>
        <w:pStyle w:val="Compact"/>
        <w:numPr>
          <w:ilvl w:val="0"/>
          <w:numId w:val="1004"/>
        </w:numPr>
      </w:pPr>
      <w:r>
        <w:rPr>
          <w:b/>
          <w:bCs/>
        </w:rPr>
        <w:t xml:space="preserve">Labs</w:t>
      </w:r>
      <w:r>
        <w:t xml:space="preserve"> </w:t>
      </w:r>
      <w:r>
        <w:t xml:space="preserve">— fake data = zero for the lab. AI answer without declaration = zero for the question. No regrades.</w:t>
      </w:r>
    </w:p>
    <w:p>
      <w:pPr>
        <w:pStyle w:val="Compact"/>
        <w:numPr>
          <w:ilvl w:val="0"/>
          <w:numId w:val="1004"/>
        </w:numPr>
      </w:pPr>
      <w:r>
        <w:rPr>
          <w:b/>
          <w:bCs/>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
          <w:bCs/>
        </w:rPr>
        <w:t xml:space="preserve">Dr. B’s Note:</w:t>
      </w:r>
      <w:r>
        <w:t xml:space="preserve"> </w:t>
      </w:r>
      <w:r>
        <w:rPr>
          <w:i/>
          <w:iCs/>
        </w:rPr>
        <w:t xml:space="preserve">You’re entering health careers where accuracy and integrity matter. AI is here to stay — but how you use it says everything about your professionalism. Own it, declare it, and use it to grow.</w:t>
      </w:r>
    </w:p>
    <w:bookmarkEnd w:id="32"/>
    <w:bookmarkEnd w:id="33"/>
    <w:bookmarkStart w:id="34" w:name="classroom-norms"/>
    <w:p>
      <w:pPr>
        <w:pStyle w:val="Heading2"/>
      </w:pPr>
      <w:r>
        <w:t xml:space="preserve">Classroom Norms</w:t>
      </w:r>
    </w:p>
    <w:p>
      <w:pPr>
        <w:pStyle w:val="Compact"/>
        <w:numPr>
          <w:ilvl w:val="0"/>
          <w:numId w:val="1005"/>
        </w:numPr>
      </w:pPr>
      <w:r>
        <w:t xml:space="preserve">Complete each week’s assignments — discussions, labs, ALEKS — by the posted due date.</w:t>
      </w:r>
    </w:p>
    <w:p>
      <w:pPr>
        <w:pStyle w:val="Compact"/>
        <w:numPr>
          <w:ilvl w:val="0"/>
          <w:numId w:val="1005"/>
        </w:numPr>
      </w:pPr>
      <w:r>
        <w:t xml:space="preserve">Attend your scheduled labs (both) every week; all lab hours are required to pass the course (all labs with combined score &gt;60%).</w:t>
      </w:r>
    </w:p>
    <w:p>
      <w:pPr>
        <w:pStyle w:val="Compact"/>
        <w:numPr>
          <w:ilvl w:val="0"/>
          <w:numId w:val="1005"/>
        </w:numPr>
      </w:pPr>
      <w:r>
        <w:t xml:space="preserve">Be a courteous member of the team and don’t get in the way of anyone else’s learning: post and reply before the due dates, not hours or minutes before.</w:t>
      </w:r>
    </w:p>
    <w:p>
      <w:pPr>
        <w:pStyle w:val="Compact"/>
        <w:numPr>
          <w:ilvl w:val="0"/>
          <w:numId w:val="1005"/>
        </w:numPr>
      </w:pPr>
      <w:r>
        <w:t xml:space="preserve">Academic and intellectual honesty are expected at all times (act professionally now, not when you get the job).</w:t>
      </w:r>
    </w:p>
    <w:p>
      <w:pPr>
        <w:pStyle w:val="Compact"/>
        <w:numPr>
          <w:ilvl w:val="0"/>
          <w:numId w:val="1005"/>
        </w:numPr>
      </w:pPr>
      <w:r>
        <w:t xml:space="preserve">Tell me as early as you can about anything affecting your ability to take part fully.</w:t>
      </w:r>
    </w:p>
    <w:p>
      <w:pPr>
        <w:pStyle w:val="FirstParagraph"/>
      </w:pPr>
      <w:r>
        <w:rPr>
          <w:i/>
          <w:iCs/>
        </w:rPr>
        <w:t xml:space="preserve">“How you do anything is how you do everything.”</w:t>
      </w:r>
    </w:p>
    <w:bookmarkEnd w:id="34"/>
    <w:bookmarkEnd w:id="35"/>
    <w:bookmarkStart w:id="36" w:name="X762e0c562ca86535819c7c15adbe8dbe270c6b6"/>
    <w:p>
      <w:pPr>
        <w:pStyle w:val="Heading1"/>
      </w:pPr>
      <w:r>
        <w:t xml:space="preserve">What Are the Learning Goals in This Course?</w:t>
      </w:r>
    </w:p>
    <w:p>
      <w:pPr>
        <w:pStyle w:val="FirstParagraph"/>
      </w:pPr>
      <w:r>
        <w:rPr>
          <w:b/>
          <w:bCs/>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6"/>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6"/>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6"/>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6"/>
    <w:bookmarkStart w:id="43" w:name="how-will-i-be-graded-and-why"/>
    <w:p>
      <w:pPr>
        <w:pStyle w:val="Heading1"/>
      </w:pPr>
      <w:r>
        <w:t xml:space="preserve">How Will I Be Graded, and Why?</w:t>
      </w:r>
    </w:p>
    <w:p>
      <w:pPr>
        <w:pStyle w:val="FirstParagraph"/>
      </w:pPr>
      <w:r>
        <w:rPr>
          <w:b/>
          <w:bCs/>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“Learn on, do one, teach on.”)</w:t>
      </w:r>
    </w:p>
    <w:bookmarkStart w:id="37"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Discussions</w:t>
            </w:r>
          </w:p>
        </w:tc>
        <w:tc>
          <w:tcPr/>
          <w:p>
            <w:pPr>
              <w:pStyle w:val="Compact"/>
            </w:pPr>
            <w:r>
              <w:t xml:space="preserve">30%</w:t>
            </w:r>
          </w:p>
        </w:tc>
        <w:tc>
          <w:tcPr/>
          <w:p>
            <w:pPr>
              <w:pStyle w:val="Compact"/>
            </w:pPr>
            <w:r>
              <w:t xml:space="preserve">Weekly 3-2-1 Team Discussions + OOL post and replies</w:t>
            </w:r>
          </w:p>
        </w:tc>
      </w:tr>
      <w:tr>
        <w:tc>
          <w:tcPr/>
          <w:p>
            <w:pPr>
              <w:pStyle w:val="Compact"/>
            </w:pPr>
            <w:r>
              <w:t xml:space="preserve">Labs</w:t>
            </w:r>
          </w:p>
        </w:tc>
        <w:tc>
          <w:tcPr/>
          <w:p>
            <w:pPr>
              <w:pStyle w:val="Compact"/>
            </w:pPr>
            <w:r>
              <w:t xml:space="preserve">30%</w:t>
            </w:r>
          </w:p>
        </w:tc>
        <w:tc>
          <w:tcPr/>
          <w:p>
            <w:pPr>
              <w:pStyle w:val="Compact"/>
            </w:pPr>
            <w:r>
              <w:t xml:space="preserve">Weekly on-campus labs, including INTRO data collection, the RESULTS+ANALYSIS and DISCUSSION+CONCLUSION Canvas assignments</w:t>
            </w:r>
          </w:p>
        </w:tc>
      </w:tr>
      <w:tr>
        <w:tc>
          <w:tcPr/>
          <w:p>
            <w:pPr>
              <w:pStyle w:val="Compact"/>
            </w:pPr>
            <w:r>
              <w:t xml:space="preserve">Quizzes</w:t>
            </w:r>
          </w:p>
        </w:tc>
        <w:tc>
          <w:tcPr/>
          <w:p>
            <w:pPr>
              <w:pStyle w:val="Compact"/>
            </w:pPr>
            <w:r>
              <w:t xml:space="preserve">20%</w:t>
            </w:r>
          </w:p>
        </w:tc>
        <w:tc>
          <w:tcPr/>
          <w:p>
            <w:pPr>
              <w:pStyle w:val="Compact"/>
            </w:pPr>
            <w:r>
              <w:t xml:space="preserve">In-person, given during lab (tentatively Weeks 3, 5, 6, 9, and 11)</w:t>
            </w:r>
          </w:p>
        </w:tc>
      </w:tr>
      <w:tr>
        <w:tc>
          <w:tcPr/>
          <w:p>
            <w:pPr>
              <w:pStyle w:val="Compact"/>
            </w:pPr>
            <w:r>
              <w:t xml:space="preserve">ALEKS Homework</w:t>
            </w:r>
          </w:p>
        </w:tc>
        <w:tc>
          <w:tcPr/>
          <w:p>
            <w:pPr>
              <w:pStyle w:val="Compact"/>
            </w:pPr>
            <w:r>
              <w:t xml:space="preserve">10%</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7"/>
    <w:bookmarkStart w:id="38"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7"/>
        </w:numPr>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pStyle w:val="Compact"/>
        <w:numPr>
          <w:ilvl w:val="0"/>
          <w:numId w:val="1007"/>
        </w:numPr>
      </w:pPr>
      <w:r>
        <w:t xml:space="preserve">Each individual lab must score above 60% combined across its three parts — this is not an average across all labs, it’s per lab.</w:t>
      </w:r>
    </w:p>
    <w:p>
      <w:pPr>
        <w:pStyle w:val="Compact"/>
        <w:numPr>
          <w:ilvl w:val="0"/>
          <w:numId w:val="1007"/>
        </w:numPr>
      </w:pPr>
      <w:r>
        <w:t xml:space="preserve">A lab counts as</w:t>
      </w:r>
      <w:r>
        <w:t xml:space="preserve"> </w:t>
      </w:r>
      <w:r>
        <w:t xml:space="preserve">“missed”</w:t>
      </w:r>
      <w:r>
        <w:t xml:space="preserve"> </w:t>
      </w:r>
      <w:r>
        <w:t xml:space="preserve">toward your credit-hour requirement if you don’t attend/submit it, or if it scores below 60%. You cannot miss more than about two labs and still earn the lab credit for this course.</w:t>
      </w:r>
    </w:p>
    <w:bookmarkEnd w:id="38"/>
    <w:bookmarkStart w:id="39"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86</w:t>
            </w:r>
          </w:p>
        </w:tc>
        <w:tc>
          <w:tcPr/>
          <w:p>
            <w:pPr>
              <w:pStyle w:val="Compact"/>
            </w:pPr>
            <w:r>
              <w:t xml:space="preserve">B</w:t>
            </w:r>
          </w:p>
        </w:tc>
        <w:tc>
          <w:tcPr/>
          <w:p>
            <w:pPr>
              <w:pStyle w:val="Compact"/>
            </w:pPr>
            <w:r>
              <w:t xml:space="preserve">72 up to 76</w:t>
            </w:r>
          </w:p>
        </w:tc>
        <w:tc>
          <w:tcPr/>
          <w:p>
            <w:pPr>
              <w:pStyle w:val="Compact"/>
            </w:pPr>
            <w:r>
              <w:t xml:space="preserve">C</w:t>
            </w:r>
          </w:p>
        </w:tc>
      </w:tr>
      <w:tr>
        <w:tc>
          <w:tcPr/>
          <w:p>
            <w:pPr>
              <w:pStyle w:val="Compact"/>
            </w:pPr>
            <w:r>
              <w:t xml:space="preserve">90 up to 92</w:t>
            </w:r>
          </w:p>
        </w:tc>
        <w:tc>
          <w:tcPr/>
          <w:p>
            <w:pPr>
              <w:pStyle w:val="Compact"/>
            </w:pPr>
            <w:r>
              <w:t xml:space="preserve">A-</w:t>
            </w:r>
          </w:p>
        </w:tc>
        <w:tc>
          <w:tcPr/>
          <w:p>
            <w:pPr>
              <w:pStyle w:val="Compact"/>
            </w:pPr>
            <w:r>
              <w:t xml:space="preserve">80 up to 82</w:t>
            </w:r>
          </w:p>
        </w:tc>
        <w:tc>
          <w:tcPr/>
          <w:p>
            <w:pPr>
              <w:pStyle w:val="Compact"/>
            </w:pPr>
            <w:r>
              <w:t xml:space="preserve">B-</w:t>
            </w:r>
          </w:p>
        </w:tc>
        <w:tc>
          <w:tcPr/>
          <w:p>
            <w:pPr>
              <w:pStyle w:val="Compact"/>
            </w:pPr>
            <w:r>
              <w:t xml:space="preserve">63 up to 71</w:t>
            </w:r>
          </w:p>
        </w:tc>
        <w:tc>
          <w:tcPr/>
          <w:p>
            <w:pPr>
              <w:pStyle w:val="Compact"/>
            </w:pPr>
            <w:r>
              <w:t xml:space="preserve">D</w:t>
            </w:r>
          </w:p>
        </w:tc>
      </w:tr>
      <w:tr>
        <w:tc>
          <w:tcPr/>
          <w:p>
            <w:pPr>
              <w:pStyle w:val="Compact"/>
            </w:pPr>
            <w:r>
              <w:t xml:space="preserve">87 up to 89</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62</w:t>
            </w:r>
          </w:p>
        </w:tc>
        <w:tc>
          <w:tcPr/>
          <w:p>
            <w:pPr>
              <w:pStyle w:val="Compact"/>
            </w:pPr>
            <w:r>
              <w:t xml:space="preserve">F</w:t>
            </w:r>
          </w:p>
        </w:tc>
      </w:tr>
    </w:tbl>
    <w:bookmarkEnd w:id="39"/>
    <w:bookmarkStart w:id="40"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8"/>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8"/>
        </w:numPr>
      </w:pPr>
      <w:r>
        <w:t xml:space="preserve">In-person lab attendance and the Final TYC Project have no grace period.</w:t>
      </w:r>
    </w:p>
    <w:p>
      <w:pPr>
        <w:pStyle w:val="Compact"/>
        <w:numPr>
          <w:ilvl w:val="0"/>
          <w:numId w:val="1008"/>
        </w:numPr>
      </w:pPr>
      <w:r>
        <w:t xml:space="preserve">No due dates extend beyond the course end date.</w:t>
      </w:r>
    </w:p>
    <w:p>
      <w:pPr>
        <w:pStyle w:val="Compact"/>
        <w:numPr>
          <w:ilvl w:val="0"/>
          <w:numId w:val="1008"/>
        </w:numPr>
      </w:pPr>
      <w:r>
        <w:t xml:space="preserve">If something requiring a prolonged absence occurs, contact me via Canvas Inbox and let’s see what solutions are possible.</w:t>
      </w:r>
    </w:p>
    <w:bookmarkEnd w:id="40"/>
    <w:bookmarkStart w:id="41" w:name="feedback"/>
    <w:p>
      <w:pPr>
        <w:pStyle w:val="Heading2"/>
      </w:pPr>
      <w:r>
        <w:t xml:space="preserve">Feedback</w:t>
      </w:r>
    </w:p>
    <w:p>
      <w:pPr>
        <w:pStyle w:val="FirstParagraph"/>
      </w:pPr>
      <w:r>
        <w:t xml:space="preserve">Discussions and other work are graded within 48 hours of each due date.</w:t>
      </w:r>
    </w:p>
    <w:bookmarkEnd w:id="41"/>
    <w:bookmarkStart w:id="42"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2"/>
    <w:bookmarkEnd w:id="43"/>
    <w:bookmarkStart w:id="75" w:name="Xc43a7a922298ad0f9db64bde08ef36f42168a56"/>
    <w:p>
      <w:pPr>
        <w:pStyle w:val="Heading1"/>
      </w:pPr>
      <w:r>
        <w:t xml:space="preserve">What Resources and Support Services Are Available to Me?</w:t>
      </w:r>
    </w:p>
    <w:p>
      <w:pPr>
        <w:pStyle w:val="FirstParagraph"/>
      </w:pPr>
      <w:r>
        <w:rPr>
          <w:b/>
          <w:bCs/>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4">
              <w:r>
                <w:rPr>
                  <w:rStyle w:val="Hyperlink"/>
                  <w:b/>
                  <w:bCs/>
                </w:rPr>
                <w:t xml:space="preserve">Tech Hub</w:t>
              </w:r>
            </w:hyperlink>
          </w:p>
        </w:tc>
        <w:tc>
          <w:tcPr/>
          <w:p>
            <w:pPr>
              <w:pStyle w:val="Compact"/>
            </w:pPr>
            <w:r>
              <w:t xml:space="preserve">Canvas, software, or account trouble —</w:t>
            </w:r>
            <w:r>
              <w:t xml:space="preserve"> </w:t>
            </w:r>
            <w:hyperlink r:id="rId45">
              <w:r>
                <w:rPr>
                  <w:rStyle w:val="Hyperlink"/>
                </w:rPr>
                <w:t xml:space="preserve">Scarpelli Hall 135</w:t>
              </w:r>
            </w:hyperlink>
            <w:r>
              <w:t xml:space="preserve"> </w:t>
            </w:r>
            <w:r>
              <w:t xml:space="preserve">·</w:t>
            </w:r>
            <w:r>
              <w:t xml:space="preserve"> </w:t>
            </w:r>
            <w:hyperlink r:id="rId46">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7">
              <w:r>
                <w:rPr>
                  <w:rStyle w:val="Hyperlink"/>
                </w:rPr>
                <w:t xml:space="preserve">Canvas Guides</w:t>
              </w:r>
            </w:hyperlink>
            <w:r>
              <w:t xml:space="preserve"> </w:t>
            </w:r>
            <w:r>
              <w:t xml:space="preserve">·</w:t>
            </w:r>
            <w:r>
              <w:t xml:space="preserve"> </w:t>
            </w:r>
            <w:hyperlink r:id="rId48">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9"/>
    <w:bookmarkStart w:id="56"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0">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51">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2">
              <w:r>
                <w:rPr>
                  <w:rStyle w:val="Hyperlink"/>
                </w:rPr>
                <w:t xml:space="preserve">Virtual Tutoring Center</w:t>
              </w:r>
            </w:hyperlink>
            <w:r>
              <w:t xml:space="preserve"> </w:t>
            </w:r>
            <w:r>
              <w:t xml:space="preserve">Canvas course;</w:t>
            </w:r>
            <w:r>
              <w:t xml:space="preserve"> </w:t>
            </w:r>
            <w:hyperlink r:id="rId53">
              <w:r>
                <w:rPr>
                  <w:rStyle w:val="Hyperlink"/>
                </w:rPr>
                <w:t xml:space="preserve">eTutoringOnline.org</w:t>
              </w:r>
            </w:hyperlink>
            <w:r>
              <w:t xml:space="preserve"> </w:t>
            </w:r>
            <w:r>
              <w:t xml:space="preserve">for additional online writing lab support.</w:t>
            </w:r>
          </w:p>
        </w:tc>
      </w:tr>
      <w:tr>
        <w:tc>
          <w:tcPr/>
          <w:p>
            <w:pPr>
              <w:pStyle w:val="Compact"/>
            </w:pPr>
            <w:hyperlink r:id="rId54">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5">
              <w:r>
                <w:rPr>
                  <w:rStyle w:val="Hyperlink"/>
                </w:rPr>
                <w:t xml:space="preserve">chat</w:t>
              </w:r>
            </w:hyperlink>
            <w:r>
              <w:t xml:space="preserve">.</w:t>
            </w:r>
          </w:p>
        </w:tc>
      </w:tr>
    </w:tbl>
    <w:bookmarkEnd w:id="56"/>
    <w:bookmarkStart w:id="74"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7">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8">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9">
              <w:r>
                <w:rPr>
                  <w:rStyle w:val="Hyperlink"/>
                </w:rPr>
                <w:t xml:space="preserve">Diversity Center</w:t>
              </w:r>
            </w:hyperlink>
            <w:r>
              <w:t xml:space="preserve"> </w:t>
            </w:r>
            <w:r>
              <w:t xml:space="preserve">is a great place to visit between classes.</w:t>
            </w:r>
          </w:p>
        </w:tc>
      </w:tr>
      <w:tr>
        <w:tc>
          <w:tcPr/>
          <w:p>
            <w:pPr>
              <w:pStyle w:val="Compact"/>
            </w:pPr>
            <w:hyperlink r:id="rId60">
              <w:r>
                <w:rPr>
                  <w:rStyle w:val="Hyperlink"/>
                  <w:b/>
                  <w:bCs/>
                </w:rPr>
                <w:t xml:space="preserve">Penguin Pantry</w:t>
              </w:r>
            </w:hyperlink>
          </w:p>
        </w:tc>
        <w:tc>
          <w:tcPr/>
          <w:p>
            <w:pPr>
              <w:pStyle w:val="Compact"/>
            </w:pPr>
            <w:r>
              <w:t xml:space="preserve">Monthly pre-packaged food boxes. Contact Cath Busha, Dean of Student Engagement (</w:t>
            </w:r>
            <w:hyperlink r:id="rId61">
              <w:r>
                <w:rPr>
                  <w:rStyle w:val="Hyperlink"/>
                </w:rPr>
                <w:t xml:space="preserve">cbusha@clark.edu</w:t>
              </w:r>
            </w:hyperlink>
            <w:r>
              <w:t xml:space="preserve">).</w:t>
            </w:r>
          </w:p>
        </w:tc>
      </w:tr>
      <w:tr>
        <w:tc>
          <w:tcPr/>
          <w:p>
            <w:pPr>
              <w:pStyle w:val="Compact"/>
            </w:pPr>
            <w:hyperlink r:id="rId62">
              <w:r>
                <w:rPr>
                  <w:rStyle w:val="Hyperlink"/>
                  <w:b/>
                  <w:bCs/>
                </w:rPr>
                <w:t xml:space="preserve">Basic Needs Hub</w:t>
              </w:r>
            </w:hyperlink>
          </w:p>
        </w:tc>
        <w:tc>
          <w:tcPr/>
          <w:p>
            <w:pPr>
              <w:pStyle w:val="Compact"/>
            </w:pPr>
            <w:r>
              <w:t xml:space="preserve">Help with food, housing, and financial challenges —</w:t>
            </w:r>
            <w:r>
              <w:t xml:space="preserve"> </w:t>
            </w:r>
            <w:hyperlink r:id="rId63">
              <w:r>
                <w:rPr>
                  <w:rStyle w:val="Hyperlink"/>
                </w:rPr>
                <w:t xml:space="preserve">intake form</w:t>
              </w:r>
            </w:hyperlink>
            <w:r>
              <w:t xml:space="preserve">. basicneeds@clark.edu · 360-992-2766 · Gaiser Hall (GHL) 216.</w:t>
            </w:r>
          </w:p>
        </w:tc>
      </w:tr>
      <w:tr>
        <w:tc>
          <w:tcPr/>
          <w:p>
            <w:pPr>
              <w:pStyle w:val="Compact"/>
            </w:pPr>
            <w:hyperlink r:id="rId64">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5">
              <w:r>
                <w:rPr>
                  <w:rStyle w:val="Hyperlink"/>
                </w:rPr>
                <w:t xml:space="preserve">schedule an appointment</w:t>
              </w:r>
            </w:hyperlink>
            <w:r>
              <w:t xml:space="preserve">.</w:t>
            </w:r>
          </w:p>
        </w:tc>
      </w:tr>
      <w:tr>
        <w:tc>
          <w:tcPr/>
          <w:p>
            <w:pPr>
              <w:pStyle w:val="Compact"/>
            </w:pPr>
            <w:hyperlink r:id="rId66">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7">
              <w:r>
                <w:rPr>
                  <w:rStyle w:val="Hyperlink"/>
                </w:rPr>
                <w:t xml:space="preserve">careerservices@clark.edu</w:t>
              </w:r>
            </w:hyperlink>
          </w:p>
        </w:tc>
      </w:tr>
      <w:tr>
        <w:tc>
          <w:tcPr/>
          <w:p>
            <w:pPr>
              <w:pStyle w:val="Compact"/>
            </w:pPr>
            <w:hyperlink r:id="rId68">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9">
              <w:r>
                <w:rPr>
                  <w:rStyle w:val="Hyperlink"/>
                </w:rPr>
                <w:t xml:space="preserve">PUB 015</w:t>
              </w:r>
            </w:hyperlink>
            <w:r>
              <w:t xml:space="preserve"> </w:t>
            </w:r>
            <w:r>
              <w:t xml:space="preserve">· 360-992-2073 ·</w:t>
            </w:r>
            <w:r>
              <w:t xml:space="preserve"> </w:t>
            </w:r>
            <w:hyperlink r:id="rId70">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71">
        <w:r>
          <w:rPr>
            <w:rStyle w:val="Hyperlink"/>
          </w:rPr>
          <w:t xml:space="preserve">C-Tran</w:t>
        </w:r>
      </w:hyperlink>
      <w:r>
        <w:t xml:space="preserve">,</w:t>
      </w:r>
      <w:r>
        <w:t xml:space="preserve"> </w:t>
      </w:r>
      <w:hyperlink r:id="rId72">
        <w:r>
          <w:rPr>
            <w:rStyle w:val="Hyperlink"/>
          </w:rPr>
          <w:t xml:space="preserve">campus maps</w:t>
        </w:r>
      </w:hyperlink>
      <w:r>
        <w:t xml:space="preserve">, and campus life and activities at the</w:t>
      </w:r>
      <w:r>
        <w:t xml:space="preserve"> </w:t>
      </w:r>
      <w:hyperlink r:id="rId73">
        <w:r>
          <w:rPr>
            <w:rStyle w:val="Hyperlink"/>
          </w:rPr>
          <w:t xml:space="preserve">Clark Students website</w:t>
        </w:r>
      </w:hyperlink>
      <w:r>
        <w:t xml:space="preserve">.</w:t>
      </w:r>
    </w:p>
    <w:bookmarkEnd w:id="74"/>
    <w:bookmarkEnd w:id="75"/>
    <w:bookmarkStart w:id="76"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6"/>
    <w:bookmarkStart w:id="90"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0" w:name="ada-accommodations"/>
    <w:p>
      <w:pPr>
        <w:pStyle w:val="Heading2"/>
      </w:pPr>
      <w:r>
        <w:t xml:space="preserve">ADA Accommodations</w:t>
      </w:r>
    </w:p>
    <w:p>
      <w:pPr>
        <w:pStyle w:val="FirstParagraph"/>
      </w:pPr>
      <w:r>
        <w:rPr>
          <w:b/>
          <w:bCs/>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18">
        <w:r>
          <w:rPr>
            <w:rStyle w:val="Hyperlink"/>
          </w:rPr>
          <w:t xml:space="preserve">steps on the DAC website</w:t>
        </w:r>
      </w:hyperlink>
      <w:r>
        <w:t xml:space="preserve">. Or contact DAC one of these ways:</w:t>
      </w:r>
    </w:p>
    <w:p>
      <w:pPr>
        <w:pStyle w:val="Compact"/>
        <w:numPr>
          <w:ilvl w:val="0"/>
          <w:numId w:val="1009"/>
        </w:numPr>
      </w:pPr>
      <w:r>
        <w:t xml:space="preserve">DAC Main Phone: 360-992-2314. Video Phone for ASL: 360-991-0901.</w:t>
      </w:r>
    </w:p>
    <w:p>
      <w:pPr>
        <w:pStyle w:val="Compact"/>
        <w:numPr>
          <w:ilvl w:val="0"/>
          <w:numId w:val="1009"/>
        </w:numPr>
      </w:pPr>
      <w:r>
        <w:t xml:space="preserve">Email:</w:t>
      </w:r>
      <w:r>
        <w:t xml:space="preserve"> </w:t>
      </w:r>
      <w:hyperlink r:id="rId77">
        <w:r>
          <w:rPr>
            <w:rStyle w:val="Hyperlink"/>
          </w:rPr>
          <w:t xml:space="preserve">dac@clark.edu</w:t>
        </w:r>
      </w:hyperlink>
      <w:r>
        <w:t xml:space="preserve">. Fax: (360) 992-2879.</w:t>
      </w:r>
    </w:p>
    <w:p>
      <w:pPr>
        <w:pStyle w:val="Compact"/>
        <w:numPr>
          <w:ilvl w:val="0"/>
          <w:numId w:val="1009"/>
        </w:numPr>
      </w:pPr>
      <w:r>
        <w:t xml:space="preserve">Physical Location: Penguin Union Building (PUB) 002.</w:t>
      </w:r>
    </w:p>
    <w:p>
      <w:pPr>
        <w:pStyle w:val="FirstParagraph"/>
      </w:pPr>
      <w:r>
        <w:t xml:space="preserve">If you have already been approved for accommodations, don’t forget to</w:t>
      </w:r>
      <w:r>
        <w:t xml:space="preserve"> </w:t>
      </w:r>
      <w:hyperlink r:id="rId78">
        <w:r>
          <w:rPr>
            <w:rStyle w:val="Hyperlink"/>
          </w:rPr>
          <w:t xml:space="preserve">request them every term and schedule your own exams in myAccess</w:t>
        </w:r>
      </w:hyperlink>
      <w:r>
        <w:t xml:space="preserve"> </w:t>
      </w:r>
      <w:r>
        <w:t xml:space="preserve">— or by contacting DAC. Exams should be scheduled with DAC with at least 5 business days’ notice. Please reach out to</w:t>
      </w:r>
      <w:r>
        <w:t xml:space="preserve"> </w:t>
      </w:r>
      <w:hyperlink r:id="rId79">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0"/>
    <w:bookmarkStart w:id="82" w:name="non-discrimination-policy"/>
    <w:p>
      <w:pPr>
        <w:pStyle w:val="Heading2"/>
      </w:pPr>
      <w:r>
        <w:t xml:space="preserve">Non-discrimination Policy</w:t>
      </w:r>
    </w:p>
    <w:p>
      <w:pPr>
        <w:pStyle w:val="FirstParagraph"/>
      </w:pPr>
      <w:r>
        <w:rPr>
          <w:b/>
          <w:bCs/>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1">
        <w:r>
          <w:rPr>
            <w:rStyle w:val="Hyperlink"/>
          </w:rPr>
          <w:t xml:space="preserve">hr@clark.edu</w:t>
        </w:r>
      </w:hyperlink>
    </w:p>
    <w:bookmarkEnd w:id="82"/>
    <w:bookmarkStart w:id="87" w:name="title-ix-and-sexual-misconduct"/>
    <w:p>
      <w:pPr>
        <w:pStyle w:val="Heading2"/>
      </w:pPr>
      <w:r>
        <w:t xml:space="preserve">Title IX and Sexual Misconduct</w:t>
      </w:r>
    </w:p>
    <w:p>
      <w:pPr>
        <w:pStyle w:val="FirstParagraph"/>
      </w:pPr>
      <w:r>
        <w:rPr>
          <w:b/>
          <w:bCs/>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‘right way’</w:t>
      </w:r>
      <w:r>
        <w:t xml:space="preserve"> </w:t>
      </w:r>
      <w:r>
        <w:t xml:space="preserve">to feel or</w:t>
      </w:r>
      <w:r>
        <w:t xml:space="preserve"> </w:t>
      </w:r>
      <w:r>
        <w:t xml:space="preserve">‘right thing’</w:t>
      </w:r>
      <w:r>
        <w:t xml:space="preserve"> </w:t>
      </w:r>
      <w:r>
        <w:t xml:space="preserve">to do. Learn more about</w:t>
      </w:r>
      <w:r>
        <w:t xml:space="preserve"> </w:t>
      </w:r>
      <w:hyperlink r:id="rId83">
        <w:r>
          <w:rPr>
            <w:rStyle w:val="Hyperlink"/>
          </w:rPr>
          <w:t xml:space="preserve">campus and community resources</w:t>
        </w:r>
      </w:hyperlink>
      <w:r>
        <w:t xml:space="preserve">,</w:t>
      </w:r>
      <w:r>
        <w:t xml:space="preserve"> </w:t>
      </w:r>
      <w:hyperlink r:id="rId84">
        <w:r>
          <w:rPr>
            <w:rStyle w:val="Hyperlink"/>
          </w:rPr>
          <w:t xml:space="preserve">reporting options</w:t>
        </w:r>
      </w:hyperlink>
      <w:r>
        <w:t xml:space="preserve">,</w:t>
      </w:r>
      <w:r>
        <w:t xml:space="preserve"> </w:t>
      </w:r>
      <w:hyperlink r:id="rId85">
        <w:r>
          <w:rPr>
            <w:rStyle w:val="Hyperlink"/>
          </w:rPr>
          <w:t xml:space="preserve">Title IX</w:t>
        </w:r>
      </w:hyperlink>
      <w:r>
        <w:t xml:space="preserve">,</w:t>
      </w:r>
      <w:r>
        <w:t xml:space="preserve"> </w:t>
      </w:r>
      <w:hyperlink r:id="rId86">
        <w:r>
          <w:rPr>
            <w:rStyle w:val="Hyperlink"/>
          </w:rPr>
          <w:t xml:space="preserve">personal safety</w:t>
        </w:r>
      </w:hyperlink>
      <w:r>
        <w:t xml:space="preserve">, and how to help a friend who may have experienced sexual misconduct. You can also contact the</w:t>
      </w:r>
      <w:r>
        <w:t xml:space="preserve"> </w:t>
      </w:r>
      <w:hyperlink r:id="rId57">
        <w:r>
          <w:rPr>
            <w:rStyle w:val="Hyperlink"/>
          </w:rPr>
          <w:t xml:space="preserve">Counseling and Health Center</w:t>
        </w:r>
      </w:hyperlink>
      <w:r>
        <w:t xml:space="preserve"> </w:t>
      </w:r>
      <w:r>
        <w:t xml:space="preserve">if you would like to pursue counseling.</w:t>
      </w:r>
    </w:p>
    <w:bookmarkEnd w:id="87"/>
    <w:bookmarkStart w:id="89" w:name="student-rights-and-responsibilities"/>
    <w:p>
      <w:pPr>
        <w:pStyle w:val="Heading2"/>
      </w:pPr>
      <w:r>
        <w:t xml:space="preserve">Student Rights and Responsibilities</w:t>
      </w:r>
    </w:p>
    <w:p>
      <w:pPr>
        <w:pStyle w:val="FirstParagraph"/>
      </w:pPr>
      <w:r>
        <w:rPr>
          <w:b/>
          <w:bCs/>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88">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2026-09-17T15:48:29Z</dcterms:created>
  <dcterms:modified xsi:type="dcterms:W3CDTF">2026-09-17T15:48:29Z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