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CHEM&amp;131: Intro to Organic/Biochemistry</w:t>
      </w:r>
    </w:p>
    <w:bookmarkStart w:id="9" w:name="why-this-course-why-you"/>
    <w:p>
      <w:pPr>
        <w:pStyle w:val="Heading1"/>
      </w:pPr>
      <w:r>
        <w:t xml:space="preserve">Why This Course, Why You</w:t>
      </w:r>
    </w:p>
    <w:p>
      <w:pPr>
        <w:pStyle w:val="FirstParagraph"/>
      </w:pPr>
      <w:r>
        <w:t xml:space="preserve">This course builds directly on CHEM&amp;121, moving from gases and solutions into organic and biochemistry — how the human body actually works at a molecular level. This is the science behind metabolism, enzyme and drug action, and the major biomolecules (like ATP) you’ll encounter constantly in a health career, all connected back to how the foods you eat and the world around you shape your body at a biochemical level.</w:t>
      </w:r>
    </w:p>
    <w:p>
      <w:pPr>
        <w:pStyle w:val="BodyText"/>
      </w:pPr>
      <w:r>
        <w:t xml:space="preserve">This course will ask more of you than your last chemistry class. Organic chemistry is about structure and function — abstract, with no math or formulas — so recognizing chemical structures is your first big task. Like in A&amp;P, repetition is how you get comfortable enough with molecules to predict what they’ll do. There are no shortcuts, and everyone starts in the same place. Use the first three modules to build that foundation — this term is about putting in the time, not walking in already knowing it. You’ve got this.</w:t>
      </w:r>
    </w:p>
    <w:bookmarkEnd w:id="9"/>
    <w:bookmarkStart w:id="12" w:name="start-here"/>
    <w:p>
      <w:pPr>
        <w:pStyle w:val="Heading1"/>
      </w:pPr>
      <w:r>
        <w:t xml:space="preserve">Start Here</w:t>
      </w:r>
    </w:p>
    <w:p>
      <w:pPr>
        <w:pStyle w:val="FirstParagraph"/>
      </w:pPr>
      <w:r>
        <w:t xml:space="preserve">If you read one part of this syllabus, read this one.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Details</w:t>
            </w:r>
          </w:p>
        </w:tc>
      </w:tr>
      <w:tr>
        <w:tc>
          <w:tcPr/>
          <w:p>
            <w:pPr>
              <w:pStyle w:val="Compact"/>
            </w:pPr>
            <w:r>
              <w:rPr>
                <w:b/>
                <w:bCs/>
              </w:rPr>
              <w:t xml:space="preserve">What it costs</w:t>
            </w:r>
          </w:p>
        </w:tc>
        <w:tc>
          <w:tcPr/>
          <w:p>
            <w:pPr>
              <w:pStyle w:val="Compact"/>
            </w:pPr>
            <w:r>
              <w:rPr>
                <w:b/>
                <w:bCs/>
              </w:rPr>
              <w:t xml:space="preserve">Chemfolio</w:t>
            </w:r>
            <w:r>
              <w:t xml:space="preserve"> </w:t>
            </w:r>
            <w:r>
              <w:rPr>
                <w:i/>
                <w:iCs/>
              </w:rPr>
              <w:t xml:space="preserve">($19.50)</w:t>
            </w:r>
            <w:r>
              <w:t xml:space="preserve"> </w:t>
            </w:r>
            <w:r>
              <w:t xml:space="preserve">+</w:t>
            </w:r>
            <w:r>
              <w:t xml:space="preserve"> </w:t>
            </w:r>
            <w:r>
              <w:rPr>
                <w:b/>
                <w:bCs/>
              </w:rPr>
              <w:t xml:space="preserve">CHEM&amp;131 Lab Manual</w:t>
            </w:r>
            <w:r>
              <w:t xml:space="preserve"> </w:t>
            </w:r>
            <w:r>
              <w:rPr>
                <w:i/>
                <w:iCs/>
              </w:rPr>
              <w:t xml:space="preserve">(~$16.70)</w:t>
            </w:r>
            <w:r>
              <w:t xml:space="preserve"> </w:t>
            </w:r>
            <w:r>
              <w:t xml:space="preserve">(Clark Bookstore) + ALEKS (paid through your course registration).</w:t>
            </w:r>
          </w:p>
        </w:tc>
      </w:tr>
      <w:tr>
        <w:tc>
          <w:tcPr/>
          <w:p>
            <w:pPr>
              <w:pStyle w:val="Compact"/>
            </w:pPr>
            <w:r>
              <w:rPr>
                <w:b/>
                <w:bCs/>
              </w:rPr>
              <w:t xml:space="preserve">When things are due</w:t>
            </w:r>
          </w:p>
        </w:tc>
        <w:tc>
          <w:tcPr/>
          <w:p>
            <w:pPr>
              <w:pStyle w:val="Compact"/>
            </w:pPr>
            <w:r>
              <w:t xml:space="preserve">Wednesday through Sunday each carry something — see Weekly Flow below for the exact rhythm. Once you learn it, it repeats every module.</w:t>
            </w:r>
          </w:p>
        </w:tc>
      </w:tr>
      <w:tr>
        <w:tc>
          <w:tcPr/>
          <w:p>
            <w:pPr>
              <w:pStyle w:val="Compact"/>
            </w:pPr>
            <w:r>
              <w:rPr>
                <w:b/>
                <w:bCs/>
              </w:rPr>
              <w:t xml:space="preserve">Time to budget</w:t>
            </w:r>
          </w:p>
        </w:tc>
        <w:tc>
          <w:tcPr/>
          <w:p>
            <w:pPr>
              <w:pStyle w:val="Compact"/>
            </w:pPr>
            <w:r>
              <w:t xml:space="preserve">About 10–12 hours a week outside of lab, plus your 4-hour on-campus lab — see How to Work in This Class.</w:t>
            </w:r>
          </w:p>
        </w:tc>
      </w:tr>
      <w:tr>
        <w:tc>
          <w:tcPr/>
          <w:p>
            <w:pPr>
              <w:pStyle w:val="Compact"/>
            </w:pPr>
            <w:r>
              <w:rPr>
                <w:b/>
                <w:bCs/>
              </w:rPr>
              <w:t xml:space="preserve">How to reach me</w:t>
            </w:r>
          </w:p>
        </w:tc>
        <w:tc>
          <w:tcPr/>
          <w:p>
            <w:pPr>
              <w:pStyle w:val="Compact"/>
            </w:pPr>
            <w:r>
              <w:t xml:space="preserve">Canvas Inbox only — I don’t use email during the term. I reply within 24 hours on weekdays.</w:t>
            </w:r>
          </w:p>
        </w:tc>
      </w:tr>
      <w:tr>
        <w:tc>
          <w:tcPr/>
          <w:p>
            <w:pPr>
              <w:pStyle w:val="Compact"/>
            </w:pPr>
            <w:r>
              <w:rPr>
                <w:b/>
                <w:bCs/>
              </w:rPr>
              <w:t xml:space="preserve">The two big ones</w:t>
            </w:r>
          </w:p>
        </w:tc>
        <w:tc>
          <w:tcPr/>
          <w:p>
            <w:pPr>
              <w:pStyle w:val="Compact"/>
            </w:pPr>
            <w:r>
              <w:t xml:space="preserve">Weekly lab attendance (required every week — see About the Lab Requirement for how a missed lab is handled) and the Final TYC (Teach Your Community) Project — 10% of your grade, in place of a final exam.</w:t>
            </w:r>
          </w:p>
        </w:tc>
      </w:tr>
      <w:tr>
        <w:tc>
          <w:tcPr/>
          <w:p>
            <w:pPr>
              <w:pStyle w:val="Compact"/>
            </w:pPr>
            <w:r>
              <w:rPr>
                <w:b/>
                <w:bCs/>
              </w:rPr>
              <w:t xml:space="preserve">The AI rule</w:t>
            </w:r>
          </w:p>
        </w:tc>
        <w:tc>
          <w:tcPr/>
          <w:p>
            <w:pPr>
              <w:pStyle w:val="Compact"/>
            </w:pPr>
            <w:r>
              <w:t xml:space="preserve">No AI-generated content in anything you submit — ever, no exceptions. See the AI Agreement below for the full policy.</w:t>
            </w:r>
          </w:p>
        </w:tc>
      </w:tr>
      <w:tr>
        <w:tc>
          <w:tcPr/>
          <w:p>
            <w:pPr>
              <w:pStyle w:val="Compact"/>
            </w:pPr>
            <w:r>
              <w:rPr>
                <w:b/>
                <w:bCs/>
              </w:rPr>
              <w:t xml:space="preserve">If you fall behind</w:t>
            </w:r>
          </w:p>
        </w:tc>
        <w:tc>
          <w:tcPr/>
          <w:p>
            <w:pPr>
              <w:pStyle w:val="Compact"/>
            </w:pPr>
            <w:r>
              <w:t xml:space="preserve">No explanation needed. Late work loses 1% per hour after the due date, down to zero after about 5 days — then it can still be submitted for zero credit. See Late Work below for the full policy.</w:t>
            </w:r>
          </w:p>
        </w:tc>
      </w:tr>
    </w:tbl>
    <w:p>
      <w:pPr>
        <w:pStyle w:val="BodyText"/>
      </w:pPr>
      <w:r>
        <w:rPr>
          <w:b/>
          <w:bCs/>
        </w:rPr>
        <w:t xml:space="preserve">Your grade in one line:</w:t>
      </w:r>
      <w:r>
        <w:t xml:space="preserve"> </w:t>
      </w:r>
      <w:r>
        <w:t xml:space="preserve">3-2-1 Team Posts 15% · OOL Discussions 15% · Lab Experiments 25% · Quizzes 20% · ALEKS Problem Sets 15% · Final TYC Project 10%.</w:t>
      </w:r>
    </w:p>
    <w:bookmarkStart w:id="10" w:name="course-terms-youll-see"/>
    <w:p>
      <w:pPr>
        <w:pStyle w:val="Heading2"/>
      </w:pPr>
      <w:r>
        <w:t xml:space="preserve">Course Terms You’ll See</w:t>
      </w:r>
    </w:p>
    <w:p>
      <w:pPr>
        <w:pStyle w:val="FirstParagraph"/>
      </w:pPr>
      <w:r>
        <w:t xml:space="preserve">A few abbreviations come up constantly in this course. Here’s what they mean, so you’re not guessing the first time you see them:</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Term</w:t>
            </w:r>
          </w:p>
        </w:tc>
        <w:tc>
          <w:tcPr/>
          <w:p>
            <w:pPr>
              <w:pStyle w:val="Compact"/>
            </w:pPr>
            <w:r>
              <w:t xml:space="preserve">What it means</w:t>
            </w:r>
          </w:p>
        </w:tc>
      </w:tr>
      <w:tr>
        <w:tc>
          <w:tcPr/>
          <w:p>
            <w:pPr>
              <w:pStyle w:val="Compact"/>
            </w:pPr>
            <w:r>
              <w:t xml:space="preserve">3-2-1</w:t>
            </w:r>
          </w:p>
        </w:tc>
        <w:tc>
          <w:tcPr/>
          <w:p>
            <w:pPr>
              <w:pStyle w:val="Compact"/>
            </w:pPr>
            <w:r>
              <w:t xml:space="preserve">Your weekly Team Discussion format — named for its posting structure (three problem areas, two areas of interest, one triage question you bring to your team’s huddle in lab).</w:t>
            </w:r>
          </w:p>
        </w:tc>
      </w:tr>
      <w:tr>
        <w:tc>
          <w:tcPr/>
          <w:p>
            <w:pPr>
              <w:pStyle w:val="Compact"/>
            </w:pPr>
            <w:r>
              <w:t xml:space="preserve">OOL</w:t>
            </w:r>
          </w:p>
        </w:tc>
        <w:tc>
          <w:tcPr/>
          <w:p>
            <w:pPr>
              <w:pStyle w:val="Compact"/>
            </w:pPr>
            <w:r>
              <w:t xml:space="preserve">Outside Of Lecture — a separate weekly class discussion, not the 3-2-1.</w:t>
            </w:r>
          </w:p>
        </w:tc>
      </w:tr>
      <w:tr>
        <w:tc>
          <w:tcPr/>
          <w:p>
            <w:pPr>
              <w:pStyle w:val="Compact"/>
            </w:pPr>
            <w:r>
              <w:t xml:space="preserve">TYC</w:t>
            </w:r>
          </w:p>
        </w:tc>
        <w:tc>
          <w:tcPr/>
          <w:p>
            <w:pPr>
              <w:pStyle w:val="Compact"/>
            </w:pPr>
            <w:r>
              <w:t xml:space="preserve">Teach Your Community — your Final Project, replacing a final exam.</w:t>
            </w:r>
          </w:p>
        </w:tc>
      </w:tr>
      <w:tr>
        <w:tc>
          <w:tcPr/>
          <w:p>
            <w:pPr>
              <w:pStyle w:val="Compact"/>
            </w:pPr>
            <w:r>
              <w:t xml:space="preserve">ALEKS</w:t>
            </w:r>
          </w:p>
        </w:tc>
        <w:tc>
          <w:tcPr/>
          <w:p>
            <w:pPr>
              <w:pStyle w:val="Compact"/>
            </w:pPr>
            <w:r>
              <w:t xml:space="preserve">Your online adaptive homework and textbook-access platform.</w:t>
            </w:r>
          </w:p>
        </w:tc>
      </w:tr>
      <w:tr>
        <w:tc>
          <w:tcPr/>
          <w:p>
            <w:pPr>
              <w:pStyle w:val="Compact"/>
            </w:pPr>
            <w:r>
              <w:t xml:space="preserve">DAC</w:t>
            </w:r>
          </w:p>
        </w:tc>
        <w:tc>
          <w:tcPr/>
          <w:p>
            <w:pPr>
              <w:pStyle w:val="Compact"/>
            </w:pPr>
            <w:r>
              <w:t xml:space="preserve">Disability Access Center — Clark’s office for accommodations.</w:t>
            </w:r>
          </w:p>
        </w:tc>
      </w:tr>
      <w:tr>
        <w:tc>
          <w:tcPr/>
          <w:p>
            <w:pPr>
              <w:pStyle w:val="Compact"/>
            </w:pPr>
            <w:r>
              <w:t xml:space="preserve">Chemfolio</w:t>
            </w:r>
          </w:p>
        </w:tc>
        <w:tc>
          <w:tcPr/>
          <w:p>
            <w:pPr>
              <w:pStyle w:val="Compact"/>
            </w:pPr>
            <w:r>
              <w:t xml:space="preserve">Your required lecture/discussion workbook — you buy this!</w:t>
            </w:r>
          </w:p>
        </w:tc>
      </w:tr>
      <w:tr>
        <w:tc>
          <w:tcPr/>
          <w:p>
            <w:pPr>
              <w:pStyle w:val="Compact"/>
            </w:pPr>
            <w:r>
              <w:t xml:space="preserve">TL;DR</w:t>
            </w:r>
          </w:p>
        </w:tc>
        <w:tc>
          <w:tcPr/>
          <w:p>
            <w:pPr>
              <w:pStyle w:val="Compact"/>
            </w:pPr>
            <w:r>
              <w:t xml:space="preserve">“Too long; didn’t read”</w:t>
            </w:r>
            <w:r>
              <w:t xml:space="preserve"> </w:t>
            </w:r>
            <w:r>
              <w:t xml:space="preserve">— a quick plain-language summary. Wherever you see TL;DR, that line tells you the gist before the official/detailed text below it.</w:t>
            </w:r>
          </w:p>
        </w:tc>
      </w:tr>
    </w:tbl>
    <w:bookmarkEnd w:id="10"/>
    <w:bookmarkStart w:id="11" w:name="your-first-week"/>
    <w:p>
      <w:pPr>
        <w:pStyle w:val="Heading2"/>
      </w:pPr>
      <w:r>
        <w:t xml:space="preserve">Your First Week</w:t>
      </w:r>
    </w:p>
    <w:p>
      <w:pPr>
        <w:pStyle w:val="Compact"/>
        <w:numPr>
          <w:ilvl w:val="0"/>
          <w:numId w:val="1001"/>
        </w:numPr>
      </w:pPr>
      <w:r>
        <w:t xml:space="preserve">Attend your scheduled lab session. Missing it means being dropped from the course.</w:t>
      </w:r>
    </w:p>
    <w:p>
      <w:pPr>
        <w:pStyle w:val="Compact"/>
        <w:numPr>
          <w:ilvl w:val="0"/>
          <w:numId w:val="1001"/>
        </w:numPr>
      </w:pPr>
      <w:r>
        <w:t xml:space="preserve">Log into Canvas and read the announcements at the top of the course.</w:t>
      </w:r>
    </w:p>
    <w:p>
      <w:pPr>
        <w:pStyle w:val="Compact"/>
        <w:numPr>
          <w:ilvl w:val="0"/>
          <w:numId w:val="1001"/>
        </w:numPr>
      </w:pPr>
      <w:r>
        <w:t xml:space="preserve">Work through Getting Started: Course Orientation, including the ALEKS/Office/OneDrive setup guide — both need to be done by the end of your first lab, so budget the time.</w:t>
      </w:r>
    </w:p>
    <w:p>
      <w:pPr>
        <w:pStyle w:val="Compact"/>
        <w:numPr>
          <w:ilvl w:val="0"/>
          <w:numId w:val="1001"/>
        </w:numPr>
      </w:pPr>
      <w:r>
        <w:t xml:space="preserve">Read this syllabus, especially the Start Here box and the Course Agreements section.</w:t>
      </w:r>
    </w:p>
    <w:p>
      <w:pPr>
        <w:pStyle w:val="Compact"/>
        <w:numPr>
          <w:ilvl w:val="0"/>
          <w:numId w:val="1001"/>
        </w:numPr>
      </w:pPr>
      <w:r>
        <w:t xml:space="preserve">Confirm you have both your Chemfolio and lab manual from the Clark Bookstore before class — your first 3-2-1 team post is due that Thursday, your second lab day.</w:t>
      </w:r>
    </w:p>
    <w:bookmarkEnd w:id="11"/>
    <w:bookmarkEnd w:id="12"/>
    <w:bookmarkStart w:id="15" w:name="course-information"/>
    <w:p>
      <w:pPr>
        <w:pStyle w:val="Heading1"/>
      </w:pPr>
      <w:r>
        <w:t xml:space="preserve">Course Information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Details</w:t>
            </w:r>
          </w:p>
        </w:tc>
      </w:tr>
      <w:tr>
        <w:tc>
          <w:tcPr/>
          <w:p>
            <w:pPr>
              <w:pStyle w:val="Compact"/>
            </w:pPr>
            <w:r>
              <w:rPr>
                <w:b/>
                <w:bCs/>
              </w:rPr>
              <w:t xml:space="preserve">Course Title</w:t>
            </w:r>
          </w:p>
        </w:tc>
        <w:tc>
          <w:tcPr/>
          <w:p>
            <w:pPr>
              <w:pStyle w:val="Compact"/>
            </w:pPr>
            <w:r>
              <w:t xml:space="preserve">CHEM&amp;131: Introduction to Organic and Biochemistry</w:t>
            </w:r>
          </w:p>
        </w:tc>
      </w:tr>
      <w:tr>
        <w:tc>
          <w:tcPr/>
          <w:p>
            <w:pPr>
              <w:pStyle w:val="Compact"/>
            </w:pPr>
            <w:r>
              <w:rPr>
                <w:b/>
                <w:bCs/>
              </w:rPr>
              <w:t xml:space="preserve">Course Nbr/Sec</w:t>
            </w:r>
          </w:p>
        </w:tc>
        <w:tc>
          <w:tcPr/>
          <w:p>
            <w:pPr>
              <w:pStyle w:val="Compact"/>
            </w:pPr>
            <w:r>
              <w:t xml:space="preserve">18411/18412</w:t>
            </w:r>
          </w:p>
        </w:tc>
      </w:tr>
      <w:tr>
        <w:tc>
          <w:tcPr/>
          <w:p>
            <w:pPr>
              <w:pStyle w:val="Compact"/>
            </w:pPr>
            <w:r>
              <w:rPr>
                <w:b/>
                <w:bCs/>
              </w:rPr>
              <w:t xml:space="preserve">Quarter/Year</w:t>
            </w:r>
          </w:p>
        </w:tc>
        <w:tc>
          <w:tcPr/>
          <w:p>
            <w:pPr>
              <w:pStyle w:val="Compact"/>
            </w:pPr>
            <w:r>
              <w:t xml:space="preserve">Fall 2026 (September 21 – December 10, 2026)</w:t>
            </w:r>
          </w:p>
        </w:tc>
      </w:tr>
      <w:tr>
        <w:tc>
          <w:tcPr/>
          <w:p>
            <w:pPr>
              <w:pStyle w:val="Compact"/>
            </w:pPr>
            <w:r>
              <w:rPr>
                <w:b/>
                <w:bCs/>
              </w:rPr>
              <w:t xml:space="preserve">Location/Time</w:t>
            </w:r>
          </w:p>
        </w:tc>
        <w:tc>
          <w:tcPr/>
          <w:p>
            <w:pPr>
              <w:pStyle w:val="Compact"/>
            </w:pPr>
            <w:r>
              <w:t xml:space="preserve">Lab: STEM Building 209, Tu/Th 2:00–3:50 PM (18411). Lecture/discussion: online, asynchronous.</w:t>
            </w:r>
          </w:p>
        </w:tc>
      </w:tr>
      <w:tr>
        <w:tc>
          <w:tcPr/>
          <w:p>
            <w:pPr>
              <w:pStyle w:val="Compact"/>
            </w:pPr>
            <w:r>
              <w:rPr>
                <w:b/>
                <w:bCs/>
              </w:rPr>
              <w:t xml:space="preserve">Course Site</w:t>
            </w:r>
          </w:p>
        </w:tc>
        <w:tc>
          <w:tcPr/>
          <w:p>
            <w:pPr>
              <w:pStyle w:val="Compact"/>
            </w:pPr>
            <w:hyperlink r:id="rId13">
              <w:r>
                <w:rPr>
                  <w:rStyle w:val="Hyperlink"/>
                </w:rPr>
                <w:t xml:space="preserve">Canvas Learning Management System</w:t>
              </w:r>
            </w:hyperlink>
          </w:p>
        </w:tc>
      </w:tr>
      <w:tr>
        <w:tc>
          <w:tcPr/>
          <w:p>
            <w:pPr>
              <w:pStyle w:val="Compact"/>
            </w:pPr>
            <w:r>
              <w:rPr>
                <w:b/>
                <w:bCs/>
              </w:rPr>
              <w:t xml:space="preserve">Course Modality</w:t>
            </w:r>
          </w:p>
        </w:tc>
        <w:tc>
          <w:tcPr/>
          <w:p>
            <w:pPr>
              <w:pStyle w:val="Compact"/>
            </w:pPr>
            <w:r>
              <w:t xml:space="preserve">Hybrid — asynchronous online lecture/discussion + twice-weekly on-campus lab</w:t>
            </w:r>
          </w:p>
        </w:tc>
      </w:tr>
      <w:tr>
        <w:tc>
          <w:tcPr/>
          <w:p>
            <w:pPr>
              <w:pStyle w:val="Compact"/>
            </w:pPr>
            <w:r>
              <w:rPr>
                <w:b/>
                <w:bCs/>
              </w:rPr>
              <w:t xml:space="preserve">Credit Hours</w:t>
            </w:r>
          </w:p>
        </w:tc>
        <w:tc>
          <w:tcPr/>
          <w:p>
            <w:pPr>
              <w:pStyle w:val="Compact"/>
            </w:pPr>
            <w:r>
              <w:t xml:space="preserve">5 credits (3.0 hours lecture-equivalent / 4.0 hours lab)</w:t>
            </w:r>
          </w:p>
        </w:tc>
      </w:tr>
      <w:tr>
        <w:tc>
          <w:tcPr/>
          <w:p>
            <w:pPr>
              <w:pStyle w:val="Compact"/>
            </w:pPr>
            <w:r>
              <w:rPr>
                <w:b/>
                <w:bCs/>
              </w:rPr>
              <w:t xml:space="preserve">Prerequisites</w:t>
            </w:r>
          </w:p>
        </w:tc>
        <w:tc>
          <w:tcPr/>
          <w:p>
            <w:pPr>
              <w:pStyle w:val="Compact"/>
            </w:pPr>
            <w:r>
              <w:t xml:space="preserve">CHEM&amp;121 (grade of</w:t>
            </w:r>
            <w:r>
              <w:t xml:space="preserve"> </w:t>
            </w:r>
            <w:r>
              <w:t xml:space="preserve">“C”</w:t>
            </w:r>
            <w:r>
              <w:t xml:space="preserve"> </w:t>
            </w:r>
            <w:r>
              <w:t xml:space="preserve">or higher).</w:t>
            </w:r>
          </w:p>
        </w:tc>
      </w:tr>
      <w:tr>
        <w:tc>
          <w:tcPr/>
          <w:p>
            <w:pPr>
              <w:pStyle w:val="Compact"/>
            </w:pPr>
            <w:r>
              <w:rPr>
                <w:b/>
                <w:bCs/>
              </w:rPr>
              <w:t xml:space="preserve">Course Description</w:t>
            </w:r>
          </w:p>
        </w:tc>
        <w:tc>
          <w:tcPr/>
          <w:p>
            <w:pPr>
              <w:pStyle w:val="Compact"/>
            </w:pPr>
            <w:r>
              <w:rPr>
                <w:b/>
                <w:bCs/>
              </w:rPr>
              <w:t xml:space="preserve">What</w:t>
            </w:r>
            <w:r>
              <w:rPr>
                <w:b/>
                <w:bCs/>
              </w:rPr>
              <w:t xml:space="preserve"> </w:t>
            </w:r>
            <w:hyperlink r:id="rId14">
              <w:r>
                <w:rPr>
                  <w:rStyle w:val="Hyperlink"/>
                  <w:b/>
                  <w:bCs/>
                </w:rPr>
                <w:t xml:space="preserve">Clark’s Course Catalog</w:t>
              </w:r>
            </w:hyperlink>
            <w:r>
              <w:rPr>
                <w:b/>
                <w:bCs/>
              </w:rPr>
              <w:t xml:space="preserve"> </w:t>
            </w:r>
            <w:r>
              <w:rPr>
                <w:b/>
                <w:bCs/>
              </w:rPr>
              <w:t xml:space="preserve">says:</w:t>
            </w:r>
            <w:r>
              <w:t xml:space="preserve"> </w:t>
            </w:r>
            <w:r>
              <w:t xml:space="preserve">Aspects of organic and biochemistry emphasizing how chemicals affect functioning of the human body. Applicable to students seeking a 2-year degree in the health-occupations fields. Topics covered include aliphatic and aromatic compounds, alcohols, ethers, amines, aldehydes, ketones, carboxylic acids and their derivatives, carbohydrates and carbohydrate metabolism, lipids and lipid metabolism, proteins and protein metabolism, enzymes and hormones, nucleic acids and the chemistry of heredity, body fluids and the human circulation system, and nutrition.</w:t>
            </w:r>
            <w:r>
              <w:rPr>
                <w:b/>
                <w:bCs/>
              </w:rPr>
              <w:t xml:space="preserve">What that means in practice:</w:t>
            </w:r>
            <w:r>
              <w:t xml:space="preserve"> </w:t>
            </w:r>
            <w:r>
              <w:t xml:space="preserve">You’ll build directly on CHEM&amp;121, moving from general chemistry into the organic and biochemistry that explains how the human body actually works at a molecular level — the chemistry behind metabolism, drug action, and the major biomolecules you’ll encounter throughout a health career.</w:t>
            </w:r>
          </w:p>
        </w:tc>
      </w:tr>
    </w:tbl>
    <w:bookmarkEnd w:id="15"/>
    <w:bookmarkStart w:id="22" w:name="welcome-to-class"/>
    <w:p>
      <w:pPr>
        <w:pStyle w:val="Heading1"/>
      </w:pPr>
      <w:r>
        <w:t xml:space="preserve">Welcome to Class!</w:t>
      </w:r>
    </w:p>
    <w:p>
      <w:pPr>
        <w:pStyle w:val="FirstParagraph"/>
      </w:pPr>
      <w:r>
        <w:rPr>
          <w:i/>
          <w:iCs/>
        </w:rPr>
        <w:t xml:space="preserve">TL;DR: Hybrid means lectures online, labs on campus. Weekly TEAM discussions and lab two days per week. Show up, stay engaged, and ask for help before you’re stuck.</w:t>
      </w:r>
    </w:p>
    <w:p>
      <w:pPr>
        <w:pStyle w:val="BodyText"/>
      </w:pPr>
      <w:r>
        <w:t xml:space="preserve">Welcome, welcome, welcome! I’m Dr. B (Dr. Karl Bailey, he/him), and I’m glad to have you in CHEM&amp;131 this term. Wherever your last CHEM class was, I’m glad you’re here. Let’s get into how this class will work for you!</w:t>
      </w:r>
    </w:p>
    <w:p>
      <w:pPr>
        <w:pStyle w:val="BlockText"/>
      </w:pPr>
      <w:r>
        <w:rPr>
          <w:b/>
          <w:bCs/>
        </w:rPr>
        <w:t xml:space="preserve">Dr. B’s Note:</w:t>
      </w:r>
      <w:r>
        <w:t xml:space="preserve"> </w:t>
      </w:r>
      <w:r>
        <w:rPr>
          <w:i/>
          <w:iCs/>
        </w:rPr>
        <w:t xml:space="preserve">Most students who stick with the weekly rhythm and stay engaged do well. The difference this term specifically is showing up consistently every day. This is level two CHEM – it will ask more from you than last time.</w:t>
      </w:r>
    </w:p>
    <w:bookmarkStart w:id="16" w:name="Xe66c6beb7eb2ec0e95c71e590f49bdb9df56704"/>
    <w:p>
      <w:pPr>
        <w:pStyle w:val="Heading2"/>
      </w:pPr>
      <w:r>
        <w:t xml:space="preserve">What preparation/skills do I need for this class?</w:t>
      </w:r>
    </w:p>
    <w:p>
      <w:pPr>
        <w:pStyle w:val="FirstParagraph"/>
      </w:pPr>
      <w:r>
        <w:t xml:space="preserve">This course moves beyond the math and chemistry foundation you built in CHEM&amp;121. We move quickly into organic molecules and biochemical pathways, (structure = function). So while it will be all new right away, your basic chemical reasoning skills from CHEM&amp;121 will serve you well.</w:t>
      </w:r>
    </w:p>
    <w:bookmarkEnd w:id="16"/>
    <w:bookmarkStart w:id="17" w:name="what-can-i-expect-in-class"/>
    <w:p>
      <w:pPr>
        <w:pStyle w:val="Heading2"/>
      </w:pPr>
      <w:r>
        <w:t xml:space="preserve">What can I expect in class?</w:t>
      </w:r>
    </w:p>
    <w:p>
      <w:pPr>
        <w:pStyle w:val="FirstParagraph"/>
      </w:pPr>
      <w:r>
        <w:t xml:space="preserve">Like CHEM&amp;121, this course is entirely discussion-based online — no traditional lectures. You’ll work through weekly Activities from your Chemfolio in a 3-2-1 Team Discussion format and apply what you’re learning in your required weekly on-campus labs. Labs involve real data collection and analysis, not cookbook steps — more on exactly how in Weekly Flow and the Grading section below.</w:t>
      </w:r>
    </w:p>
    <w:p>
      <w:pPr>
        <w:pStyle w:val="BlockText"/>
      </w:pPr>
      <w:r>
        <w:rPr>
          <w:b/>
          <w:bCs/>
        </w:rPr>
        <w:t xml:space="preserve">Dr. B’s Note:</w:t>
      </w:r>
      <w:r>
        <w:t xml:space="preserve"> </w:t>
      </w:r>
      <w:r>
        <w:rPr>
          <w:i/>
          <w:iCs/>
        </w:rPr>
        <w:t xml:space="preserve">If you’ve taken a science course before, don’t assume this one works the same way: there are no traditional lectures, quizzes happen in person during lab, and labs are real science, not a recipe to follow. More on exactly how below.</w:t>
      </w:r>
    </w:p>
    <w:bookmarkEnd w:id="17"/>
    <w:bookmarkStart w:id="19" w:name="what-if-i-need-an-accommodation"/>
    <w:p>
      <w:pPr>
        <w:pStyle w:val="Heading2"/>
      </w:pPr>
      <w:r>
        <w:t xml:space="preserve">What if I need an accommodation?</w:t>
      </w:r>
    </w:p>
    <w:p>
      <w:pPr>
        <w:pStyle w:val="FirstParagraph"/>
      </w:pPr>
      <w:r>
        <w:t xml:space="preserve">Clark College and the Disability Access Center (DAC) office assist students with disabilities in pursuing their educational goals. DAC can provide classroom accommodations, as well as serve as a resource to the campus community in striving to make Clark College both an accessible and hospitable place for students with disabilities. Interested in getting accommodations? Begin with</w:t>
      </w:r>
      <w:r>
        <w:t xml:space="preserve"> </w:t>
      </w:r>
      <w:hyperlink r:id="rId18">
        <w:r>
          <w:rPr>
            <w:rStyle w:val="Hyperlink"/>
          </w:rPr>
          <w:t xml:space="preserve">viewing the steps for requesting accommodations</w:t>
        </w:r>
      </w:hyperlink>
      <w:r>
        <w:t xml:space="preserve">.</w:t>
      </w:r>
    </w:p>
    <w:bookmarkEnd w:id="19"/>
    <w:bookmarkStart w:id="20" w:name="weekly-flow"/>
    <w:p>
      <w:pPr>
        <w:pStyle w:val="Heading2"/>
      </w:pPr>
      <w:r>
        <w:t xml:space="preserve">Weekly Flow</w:t>
      </w:r>
    </w:p>
    <w:p>
      <w:pPr>
        <w:pStyle w:val="FirstParagraph"/>
      </w:pPr>
      <w:r>
        <w:rPr>
          <w:i/>
          <w:iCs/>
        </w:rPr>
        <w:t xml:space="preserve">TL;DR: Something is due nearly every day, Wednesday through Sunday — same pattern every week once you learn it.</w:t>
      </w:r>
    </w:p>
    <w:p>
      <w:pPr>
        <w:pStyle w:val="BodyText"/>
      </w:pPr>
      <w:r>
        <w:t xml:space="preserve">Canvas Modules are your home base. This rhythm repeats every module — once you know this table, you know the whole term.</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Day</w:t>
            </w:r>
          </w:p>
        </w:tc>
        <w:tc>
          <w:tcPr/>
          <w:p>
            <w:pPr>
              <w:pStyle w:val="Compact"/>
            </w:pPr>
            <w:r>
              <w:t xml:space="preserve">What’s due</w:t>
            </w:r>
          </w:p>
        </w:tc>
      </w:tr>
      <w:tr>
        <w:tc>
          <w:tcPr/>
          <w:p>
            <w:pPr>
              <w:pStyle w:val="Compact"/>
            </w:pPr>
            <w:r>
              <w:t xml:space="preserve">Monday</w:t>
            </w:r>
          </w:p>
        </w:tc>
        <w:tc>
          <w:tcPr/>
          <w:p>
            <w:pPr>
              <w:pStyle w:val="Compact"/>
            </w:pPr>
            <w:r>
              <w:t xml:space="preserve">New module opens</w:t>
            </w:r>
          </w:p>
        </w:tc>
      </w:tr>
      <w:tr>
        <w:tc>
          <w:tcPr/>
          <w:p>
            <w:pPr>
              <w:pStyle w:val="Compact"/>
            </w:pPr>
            <w:r>
              <w:t xml:space="preserve">Wednesday</w:t>
            </w:r>
          </w:p>
        </w:tc>
        <w:tc>
          <w:tcPr/>
          <w:p>
            <w:pPr>
              <w:pStyle w:val="Compact"/>
            </w:pPr>
            <w:r>
              <w:t xml:space="preserve">OOL discussion post due</w:t>
            </w:r>
          </w:p>
        </w:tc>
      </w:tr>
      <w:tr>
        <w:tc>
          <w:tcPr/>
          <w:p>
            <w:pPr>
              <w:pStyle w:val="Compact"/>
            </w:pPr>
            <w:r>
              <w:t xml:space="preserve">Thursday (second lab day)</w:t>
            </w:r>
          </w:p>
        </w:tc>
        <w:tc>
          <w:tcPr/>
          <w:p>
            <w:pPr>
              <w:pStyle w:val="Compact"/>
            </w:pPr>
            <w:r>
              <w:t xml:space="preserve">Team huddle in lab; 3-2-1 Team post due, covering both Activities</w:t>
            </w:r>
          </w:p>
        </w:tc>
      </w:tr>
      <w:tr>
        <w:tc>
          <w:tcPr/>
          <w:p>
            <w:pPr>
              <w:pStyle w:val="Compact"/>
            </w:pPr>
            <w:r>
              <w:t xml:space="preserve">Friday</w:t>
            </w:r>
          </w:p>
        </w:tc>
        <w:tc>
          <w:tcPr/>
          <w:p>
            <w:pPr>
              <w:pStyle w:val="Compact"/>
            </w:pPr>
            <w:r>
              <w:t xml:space="preserve">TEAM LEAD POST due (Team Lead only, that week); OOL replies due; Lab Results (20 pts), Findings (10 pts), and Conclusions (20 pts) due</w:t>
            </w:r>
          </w:p>
        </w:tc>
      </w:tr>
      <w:tr>
        <w:tc>
          <w:tcPr/>
          <w:p>
            <w:pPr>
              <w:pStyle w:val="Compact"/>
            </w:pPr>
            <w:r>
              <w:t xml:space="preserve">Sunday</w:t>
            </w:r>
          </w:p>
        </w:tc>
        <w:tc>
          <w:tcPr/>
          <w:p>
            <w:pPr>
              <w:pStyle w:val="Compact"/>
            </w:pPr>
            <w:r>
              <w:t xml:space="preserve">3-2-1 replies to two teammates’ ONE questions + both Activity PDF uploads due; ALEKS homework due; Lab Background (10 pts) and Methods (40 pts) due</w:t>
            </w:r>
          </w:p>
        </w:tc>
      </w:tr>
    </w:tbl>
    <w:p>
      <w:pPr>
        <w:pStyle w:val="BodyText"/>
      </w:pPr>
      <w:r>
        <w:t xml:space="preserve">Attend lab both days assigned in your schedule.</w:t>
      </w:r>
    </w:p>
    <w:p>
      <w:pPr>
        <w:pStyle w:val="BodyText"/>
      </w:pPr>
      <w:r>
        <w:t xml:space="preserve">Quizzes are the one exception to this weekly pattern — they’re in-person during lab, in Weeks 4, 6, 8, and 10 (Week 10 carries both Quiz 4 and Quiz 5, since it’s the merged final content week).</w:t>
      </w:r>
    </w:p>
    <w:p>
      <w:pPr>
        <w:pStyle w:val="BlockText"/>
      </w:pPr>
      <w:r>
        <w:rPr>
          <w:b/>
          <w:bCs/>
        </w:rPr>
        <w:t xml:space="preserve">Dr. B’s Note:</w:t>
      </w:r>
      <w:r>
        <w:t xml:space="preserve"> </w:t>
      </w:r>
      <w:r>
        <w:rPr>
          <w:i/>
          <w:iCs/>
        </w:rPr>
        <w:t xml:space="preserve">Prioritize content learning in your Chemfolio with your team first. Labs are based on the assigned content from the module.</w:t>
      </w:r>
    </w:p>
    <w:bookmarkEnd w:id="20"/>
    <w:bookmarkStart w:id="21" w:name="how-to-work-in-this-class"/>
    <w:p>
      <w:pPr>
        <w:pStyle w:val="Heading2"/>
      </w:pPr>
      <w:r>
        <w:t xml:space="preserve">How to Work in This Class</w:t>
      </w:r>
    </w:p>
    <w:p>
      <w:pPr>
        <w:pStyle w:val="FirstParagraph"/>
      </w:pPr>
      <w:r>
        <w:rPr>
          <w:i/>
          <w:iCs/>
        </w:rPr>
        <w:t xml:space="preserve">TL;DR: Same Activities as the in-person sections, on your schedule. Try each Activity on your own first, then use the Video Key to check and correct your work. Plan on 10–12 hours a week outside of lab. If it’s taking more, or you’re putting in that time and your quiz scores are low, check in with me.</w:t>
      </w:r>
    </w:p>
    <w:p>
      <w:pPr>
        <w:pStyle w:val="BodyText"/>
      </w:pPr>
      <w:r>
        <w:rPr>
          <w:b/>
          <w:bCs/>
        </w:rPr>
        <w:t xml:space="preserve">Same course, your schedule.</w:t>
      </w:r>
      <w:r>
        <w:t xml:space="preserve"> </w:t>
      </w:r>
      <w:r>
        <w:t xml:space="preserve">In-person sections spend 3 hours a week in class working these same Chemfolio Activities together, then finish and review outside class with the Video Keys. You do the same work. The only difference is that you choose when, and how fast.</w:t>
      </w:r>
    </w:p>
    <w:p>
      <w:pPr>
        <w:pStyle w:val="BodyText"/>
      </w:pPr>
      <w:r>
        <w:rPr>
          <w:b/>
          <w:bCs/>
        </w:rPr>
        <w:t xml:space="preserve">How to work an Activity</w:t>
      </w:r>
    </w:p>
    <w:p>
      <w:pPr>
        <w:pStyle w:val="Compact"/>
        <w:numPr>
          <w:ilvl w:val="0"/>
          <w:numId w:val="1002"/>
        </w:numPr>
      </w:pPr>
      <w:r>
        <w:t xml:space="preserve">Read the assigned Smith section.</w:t>
      </w:r>
    </w:p>
    <w:p>
      <w:pPr>
        <w:pStyle w:val="Compact"/>
        <w:numPr>
          <w:ilvl w:val="0"/>
          <w:numId w:val="1002"/>
        </w:numPr>
      </w:pPr>
      <w:r>
        <w:t xml:space="preserve">Work the Activity in your Chemfolio on your own. Don’t start the video yet.</w:t>
      </w:r>
    </w:p>
    <w:p>
      <w:pPr>
        <w:pStyle w:val="Compact"/>
        <w:numPr>
          <w:ilvl w:val="0"/>
          <w:numId w:val="1002"/>
        </w:numPr>
      </w:pPr>
      <w:r>
        <w:t xml:space="preserve">Mark where you got stuck. That’s your THREE.</w:t>
      </w:r>
    </w:p>
    <w:p>
      <w:pPr>
        <w:pStyle w:val="Compact"/>
        <w:numPr>
          <w:ilvl w:val="0"/>
          <w:numId w:val="1002"/>
        </w:numPr>
      </w:pPr>
      <w:r>
        <w:t xml:space="preserve">Watch the Video Key to check and correct your work, and note in your Chemfolio what changed.</w:t>
      </w:r>
    </w:p>
    <w:p>
      <w:pPr>
        <w:pStyle w:val="Compact"/>
        <w:numPr>
          <w:ilvl w:val="0"/>
          <w:numId w:val="1002"/>
        </w:numPr>
      </w:pPr>
      <w:r>
        <w:t xml:space="preserve">Bring what’s still unclear to your team’s huddle. That’s your ONE.</w:t>
      </w:r>
    </w:p>
    <w:p>
      <w:pPr>
        <w:pStyle w:val="FirstParagraph"/>
      </w:pPr>
      <w:r>
        <w:rPr>
          <w:b/>
          <w:bCs/>
        </w:rPr>
        <w:t xml:space="preserve">Why this order matters.</w:t>
      </w:r>
      <w:r>
        <w:t xml:space="preserve"> </w:t>
      </w:r>
      <w:r>
        <w:t xml:space="preserve">Points come from completing the work, but quizzes measure what you learned, and quizzes don’t come with a video. If you can only do a problem while the video is playing, you haven’t learned it yet. Getting stuck first and then fixing it is what makes it stick.</w:t>
      </w:r>
    </w:p>
    <w:p>
      <w:pPr>
        <w:pStyle w:val="BodyText"/>
      </w:pPr>
      <w:r>
        <w:rPr>
          <w:b/>
          <w:bCs/>
        </w:rPr>
        <w:t xml:space="preserve">How much time.</w:t>
      </w:r>
      <w:r>
        <w:t xml:space="preserve"> </w:t>
      </w:r>
      <w:r>
        <w:t xml:space="preserve">Plan on 10–12 hours a week outside of lab. Check in with me if either of these happens:</w:t>
      </w:r>
    </w:p>
    <w:p>
      <w:pPr>
        <w:pStyle w:val="Compact"/>
        <w:numPr>
          <w:ilvl w:val="0"/>
          <w:numId w:val="1003"/>
        </w:numPr>
      </w:pPr>
      <w:r>
        <w:t xml:space="preserve">You’re regularly spending more than 12 hours a week.</w:t>
      </w:r>
    </w:p>
    <w:p>
      <w:pPr>
        <w:pStyle w:val="Compact"/>
        <w:numPr>
          <w:ilvl w:val="0"/>
          <w:numId w:val="1003"/>
        </w:numPr>
      </w:pPr>
      <w:r>
        <w:t xml:space="preserve">You’re putting in 10–12 hours and doing all the work, but your quiz scores are low.</w:t>
      </w:r>
    </w:p>
    <w:p>
      <w:pPr>
        <w:pStyle w:val="FirstParagraph"/>
      </w:pPr>
      <w:r>
        <w:t xml:space="preserve">Either one means something about how you’re working needs adjusting, and that’s what Help Hours are for.</w:t>
      </w:r>
    </w:p>
    <w:p>
      <w:pPr>
        <w:pStyle w:val="BlockText"/>
      </w:pPr>
      <w:r>
        <w:rPr>
          <w:b/>
          <w:bCs/>
        </w:rPr>
        <w:t xml:space="preserve">Dr. B’s Note:</w:t>
      </w:r>
      <w:r>
        <w:t xml:space="preserve"> </w:t>
      </w:r>
      <w:r>
        <w:rPr>
          <w:i/>
          <w:iCs/>
        </w:rPr>
        <w:t xml:space="preserve">Work smarter, not harder. Slow is smooth, and smooth is fast. Put your effort where it pays off most directly in learning: 3-2-1 Team Posts (15%), ALEKS Problem Sets (15%), and Quizzes (20%) together make up 50% of your grade — see How Will I Be Graded below. Lab work and OOL matter too, and both take real writing and analysis. Both will feel slow at first, and you’ll get faster as we go. That’s the point: both are professional expectations in your future career, which is why they’re in this class.</w:t>
      </w:r>
    </w:p>
    <w:bookmarkEnd w:id="21"/>
    <w:bookmarkEnd w:id="22"/>
    <w:bookmarkStart w:id="24" w:name="about-your-instructor"/>
    <w:p>
      <w:pPr>
        <w:pStyle w:val="Heading1"/>
      </w:pPr>
      <w:r>
        <w:t xml:space="preserve">About Your Instructor</w:t>
      </w:r>
    </w:p>
    <w:p>
      <w:pPr>
        <w:pStyle w:val="FirstParagraph"/>
      </w:pPr>
      <w:r>
        <w:rPr>
          <w:i/>
          <w:iCs/>
        </w:rPr>
        <w:t xml:space="preserve">TL;DR: Canvas Inbox only, no email — I reply within 24 hours on weekdays.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Details</w:t>
            </w:r>
          </w:p>
        </w:tc>
      </w:tr>
      <w:tr>
        <w:tc>
          <w:tcPr/>
          <w:p>
            <w:pPr>
              <w:pStyle w:val="Compact"/>
            </w:pPr>
            <w:r>
              <w:rPr>
                <w:b/>
                <w:bCs/>
              </w:rPr>
              <w:t xml:space="preserve">Instructor Name and pronouns</w:t>
            </w:r>
          </w:p>
        </w:tc>
        <w:tc>
          <w:tcPr/>
          <w:p>
            <w:pPr>
              <w:pStyle w:val="Compact"/>
            </w:pPr>
            <w:r>
              <w:t xml:space="preserve">Dr. Karl Bailey, Ph.D. (he/him)</w:t>
            </w:r>
          </w:p>
        </w:tc>
      </w:tr>
      <w:tr>
        <w:tc>
          <w:tcPr/>
          <w:p>
            <w:pPr>
              <w:pStyle w:val="Compact"/>
            </w:pPr>
            <w:r>
              <w:rPr>
                <w:b/>
                <w:bCs/>
              </w:rPr>
              <w:t xml:space="preserve">How I like to be addressed</w:t>
            </w:r>
          </w:p>
        </w:tc>
        <w:tc>
          <w:tcPr/>
          <w:p>
            <w:pPr>
              <w:pStyle w:val="Compact"/>
            </w:pPr>
            <w:r>
              <w:t xml:space="preserve">Dr. B</w:t>
            </w:r>
          </w:p>
        </w:tc>
      </w:tr>
      <w:tr>
        <w:tc>
          <w:tcPr/>
          <w:p>
            <w:pPr>
              <w:pStyle w:val="Compact"/>
            </w:pPr>
            <w:r>
              <w:rPr>
                <w:b/>
                <w:bCs/>
              </w:rPr>
              <w:t xml:space="preserve">Communication</w:t>
            </w:r>
          </w:p>
        </w:tc>
        <w:tc>
          <w:tcPr/>
          <w:p>
            <w:pPr>
              <w:pStyle w:val="Compact"/>
            </w:pPr>
            <w:r>
              <w:t xml:space="preserve">Canvas Inbox only — I do not use email during the term.</w:t>
            </w:r>
            <w:r>
              <w:t xml:space="preserve">Not a current student? Reach me at kbailey@clark.edu or 360-992-2313.</w:t>
            </w:r>
          </w:p>
        </w:tc>
      </w:tr>
      <w:tr>
        <w:tc>
          <w:tcPr/>
          <w:p>
            <w:pPr>
              <w:pStyle w:val="Compact"/>
            </w:pPr>
            <w:r>
              <w:rPr>
                <w:b/>
                <w:bCs/>
              </w:rPr>
              <w:t xml:space="preserve">Help Hours</w:t>
            </w:r>
          </w:p>
        </w:tc>
        <w:tc>
          <w:tcPr/>
          <w:p>
            <w:pPr>
              <w:pStyle w:val="Compact"/>
            </w:pPr>
            <w:r>
              <w:t xml:space="preserve">Tuesday &amp; Thursday, 12:00–2:00 PM (2 hours before the 2:00 PM lab section)</w:t>
            </w:r>
          </w:p>
        </w:tc>
      </w:tr>
      <w:tr>
        <w:tc>
          <w:tcPr/>
          <w:p>
            <w:pPr>
              <w:pStyle w:val="Compact"/>
            </w:pPr>
            <w:r>
              <w:rPr>
                <w:b/>
                <w:bCs/>
              </w:rPr>
              <w:t xml:space="preserve">Preferred Mode of Communication</w:t>
            </w:r>
          </w:p>
        </w:tc>
        <w:tc>
          <w:tcPr/>
          <w:p>
            <w:pPr>
              <w:pStyle w:val="Compact"/>
            </w:pPr>
            <w:r>
              <w:t xml:space="preserve">Canvas Inbox — I reply within 24 hours on weekdays.</w:t>
            </w:r>
          </w:p>
        </w:tc>
      </w:tr>
    </w:tbl>
    <w:bookmarkStart w:id="23" w:name="what-can-you-expect-from-me"/>
    <w:p>
      <w:pPr>
        <w:pStyle w:val="Heading2"/>
      </w:pPr>
      <w:r>
        <w:t xml:space="preserve">What can you expect from me?</w:t>
      </w:r>
    </w:p>
    <w:p>
      <w:pPr>
        <w:pStyle w:val="FirstParagraph"/>
      </w:pPr>
      <w:r>
        <w:t xml:space="preserve">I’ve spent more than 25 years building and refining active-learning chemistry courses putting students and their learning at the center of my teaching whether in person or online. I’ve designed everything in this course with you in mind based on what my students tell me works. The first big part of that is learning to struggle when learning anything new. It’s normal. So stick with it and you’ll find your footing and confidence with it. Reach out for help directly before things get away from you. I respond to Canvas messages within 24 hours on weekdays.</w:t>
      </w:r>
    </w:p>
    <w:p>
      <w:pPr>
        <w:pStyle w:val="BodyText"/>
      </w:pPr>
      <w:r>
        <w:rPr>
          <w:i/>
          <w:iCs/>
        </w:rPr>
        <w:t xml:space="preserve">“Our job as educators is not to prepare you for the real world. You already live in the real world. Our job is to empower you to change it.”</w:t>
      </w:r>
      <w:r>
        <w:t xml:space="preserve"> </w:t>
      </w:r>
      <w:r>
        <w:t xml:space="preserve">— Dr. B</w:t>
      </w:r>
    </w:p>
    <w:bookmarkEnd w:id="23"/>
    <w:bookmarkEnd w:id="24"/>
    <w:bookmarkStart w:id="27" w:name="what-course-materials-will-i-need"/>
    <w:p>
      <w:pPr>
        <w:pStyle w:val="Heading1"/>
      </w:pPr>
      <w:r>
        <w:t xml:space="preserve">What Course Materials Will I Need?</w:t>
      </w:r>
    </w:p>
    <w:p>
      <w:pPr>
        <w:pStyle w:val="FirstParagraph"/>
      </w:pPr>
      <w:r>
        <w:rPr>
          <w:i/>
          <w:iCs/>
        </w:rPr>
        <w:t xml:space="preserve">TL;DR: Chemfolio + your lab manual (Clark Bookstore) + ALEKS (set up automatically in Canvas).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Details</w:t>
            </w:r>
          </w:p>
        </w:tc>
      </w:tr>
      <w:tr>
        <w:tc>
          <w:tcPr/>
          <w:p>
            <w:pPr>
              <w:pStyle w:val="Compact"/>
            </w:pPr>
            <w:r>
              <w:rPr>
                <w:b/>
                <w:bCs/>
              </w:rPr>
              <w:t xml:space="preserve">Texts/Other learning materials</w:t>
            </w:r>
          </w:p>
        </w:tc>
        <w:tc>
          <w:tcPr/>
          <w:p>
            <w:pPr>
              <w:pStyle w:val="Compact"/>
            </w:pPr>
            <w:r>
              <w:rPr>
                <w:b/>
                <w:bCs/>
              </w:rPr>
              <w:t xml:space="preserve">Chemfolio</w:t>
            </w:r>
            <w:r>
              <w:t xml:space="preserve"> </w:t>
            </w:r>
            <w:r>
              <w:t xml:space="preserve">(lecture workbook) — required, drives our 3-2-1 discussion format.</w:t>
            </w:r>
            <w:r>
              <w:t xml:space="preserve"> </w:t>
            </w:r>
            <w:r>
              <w:rPr>
                <w:i/>
                <w:iCs/>
              </w:rPr>
              <w:t xml:space="preserve">($19.50, edition/ISBN TBD)</w:t>
            </w:r>
            <w:r>
              <w:rPr>
                <w:b/>
                <w:bCs/>
              </w:rPr>
              <w:t xml:space="preserve">CHEM&amp;131 Lab Manual</w:t>
            </w:r>
            <w:r>
              <w:t xml:space="preserve"> </w:t>
            </w:r>
            <w:r>
              <w:t xml:space="preserve">(lab manual) — required.</w:t>
            </w:r>
            <w:r>
              <w:t xml:space="preserve"> </w:t>
            </w:r>
            <w:r>
              <w:rPr>
                <w:i/>
                <w:iCs/>
              </w:rPr>
              <w:t xml:space="preserve">(~$16.70, edition/ISBN TBD)</w:t>
            </w:r>
            <w:r>
              <w:rPr>
                <w:b/>
                <w:bCs/>
              </w:rPr>
              <w:t xml:space="preserve">Composition Notebook</w:t>
            </w:r>
            <w:r>
              <w:t xml:space="preserve">, college ruled, 7.5 x 10 in — required.</w:t>
            </w:r>
            <w:r>
              <w:rPr>
                <w:b/>
                <w:bCs/>
              </w:rPr>
              <w:t xml:space="preserve">Scientific or Graphing Calculator</w:t>
            </w:r>
            <w:r>
              <w:t xml:space="preserve"> </w:t>
            </w:r>
            <w:r>
              <w:t xml:space="preserve">— required physical calculator, no alternative electronic devices. If you’ll be taking Math 146 Statistics, we recommend a graphing calculator (Ti-84 or Ti-Nspire); otherwise any scientific calculator (Ti-34 Multiview, Ti-36 Pro, or Ti-30Xs Multiview) works. Available for purchase at the Clark Bookstore or rent at the Library.</w:t>
            </w:r>
            <w:r>
              <w:rPr>
                <w:b/>
                <w:bCs/>
              </w:rPr>
              <w:t xml:space="preserve">ALEKS</w:t>
            </w:r>
            <w:r>
              <w:t xml:space="preserve"> </w:t>
            </w:r>
            <w:r>
              <w:t xml:space="preserve">— required online homework platform, includes access to the Smith textbook. Paid through your course registration.</w:t>
            </w:r>
          </w:p>
        </w:tc>
      </w:tr>
      <w:tr>
        <w:tc>
          <w:tcPr/>
          <w:p>
            <w:pPr>
              <w:pStyle w:val="Compact"/>
            </w:pPr>
            <w:r>
              <w:rPr>
                <w:b/>
                <w:bCs/>
              </w:rPr>
              <w:t xml:space="preserve">Companion Web Site</w:t>
            </w:r>
          </w:p>
        </w:tc>
        <w:tc>
          <w:tcPr/>
          <w:p>
            <w:pPr>
              <w:pStyle w:val="Compact"/>
            </w:pPr>
            <w:r>
              <w:t xml:space="preserve">ALEKS (aleks.com), accessed through Canvas</w:t>
            </w:r>
          </w:p>
        </w:tc>
      </w:tr>
      <w:tr>
        <w:tc>
          <w:tcPr/>
          <w:p>
            <w:pPr>
              <w:pStyle w:val="Compact"/>
            </w:pPr>
            <w:r>
              <w:rPr>
                <w:b/>
                <w:bCs/>
              </w:rPr>
              <w:t xml:space="preserve">Software</w:t>
            </w:r>
          </w:p>
        </w:tc>
        <w:tc>
          <w:tcPr/>
          <w:p>
            <w:pPr>
              <w:pStyle w:val="Compact"/>
            </w:pPr>
            <w:r>
              <w:t xml:space="preserve">Microsoft Office (primarily Word and Excel) — accessible right inside Canvas through the Microsoft Education integration, using your free Clark student Office 365 account.</w:t>
            </w:r>
          </w:p>
        </w:tc>
      </w:tr>
      <w:tr>
        <w:tc>
          <w:tcPr/>
          <w:p>
            <w:pPr>
              <w:pStyle w:val="Compact"/>
            </w:pPr>
            <w:r>
              <w:rPr>
                <w:b/>
                <w:bCs/>
              </w:rPr>
              <w:t xml:space="preserve">Electronic Resources</w:t>
            </w:r>
          </w:p>
        </w:tc>
        <w:tc>
          <w:tcPr/>
          <w:p>
            <w:pPr>
              <w:pStyle w:val="Compact"/>
            </w:pPr>
            <w:r>
              <w:t xml:space="preserve">Canvas Learning Management System. You’ll need to scan and upload multi-page PDF files to Canvas — Microsoft OneDrive or Adobe Scan are recommended.</w:t>
            </w:r>
            <w:r>
              <w:t xml:space="preserve">Follow the directions in the Getting Started: Course Orientation guide, which include enabling your Clark student email and Clark Labs account to activate your free Microsoft Office 365 account.</w:t>
            </w:r>
          </w:p>
        </w:tc>
      </w:tr>
      <w:tr>
        <w:tc>
          <w:tcPr/>
          <w:p>
            <w:pPr>
              <w:pStyle w:val="Compact"/>
            </w:pPr>
            <w:r>
              <w:rPr>
                <w:b/>
                <w:bCs/>
              </w:rPr>
              <w:t xml:space="preserve">Privacy &amp; accessibility for course tools and materials</w:t>
            </w:r>
          </w:p>
        </w:tc>
        <w:tc>
          <w:tcPr/>
          <w:p>
            <w:pPr>
              <w:pStyle w:val="Compact"/>
            </w:pPr>
            <w:r>
              <w:t xml:space="preserve">See Clark’s</w:t>
            </w:r>
            <w:r>
              <w:t xml:space="preserve"> </w:t>
            </w:r>
            <w:hyperlink r:id="rId25">
              <w:r>
                <w:rPr>
                  <w:rStyle w:val="Hyperlink"/>
                </w:rPr>
                <w:t xml:space="preserve">eLearning accessibility and privacy policies page</w:t>
              </w:r>
            </w:hyperlink>
            <w:r>
              <w:t xml:space="preserve"> </w:t>
            </w:r>
            <w:r>
              <w:t xml:space="preserve">for Canvas, ALEKS, and other tools used in this course.</w:t>
            </w:r>
          </w:p>
        </w:tc>
      </w:tr>
      <w:tr>
        <w:tc>
          <w:tcPr/>
          <w:p>
            <w:pPr>
              <w:pStyle w:val="Compact"/>
            </w:pPr>
            <w:r>
              <w:rPr>
                <w:b/>
                <w:bCs/>
              </w:rPr>
              <w:t xml:space="preserve">Where to find necessary materials</w:t>
            </w:r>
          </w:p>
        </w:tc>
        <w:tc>
          <w:tcPr/>
          <w:p>
            <w:pPr>
              <w:pStyle w:val="Compact"/>
            </w:pPr>
            <w:r>
              <w:t xml:space="preserve">Chemfolio and your lab manual:</w:t>
            </w:r>
            <w:r>
              <w:t xml:space="preserve"> </w:t>
            </w:r>
            <w:hyperlink r:id="rId26">
              <w:r>
                <w:rPr>
                  <w:rStyle w:val="Hyperlink"/>
                </w:rPr>
                <w:t xml:space="preserve">Clark College Bookstore</w:t>
              </w:r>
            </w:hyperlink>
            <w:r>
              <w:t xml:space="preserve">.</w:t>
            </w:r>
            <w:r>
              <w:t xml:space="preserve">ALEKS: access is set up automatically in Canvas once your registration is processed.</w:t>
            </w:r>
          </w:p>
        </w:tc>
      </w:tr>
    </w:tbl>
    <w:bookmarkEnd w:id="27"/>
    <w:bookmarkStart w:id="33" w:name="what-are-the-course-agreements"/>
    <w:p>
      <w:pPr>
        <w:pStyle w:val="Heading1"/>
      </w:pPr>
      <w:r>
        <w:t xml:space="preserve">What Are the Course Agreements?</w:t>
      </w:r>
    </w:p>
    <w:p>
      <w:pPr>
        <w:pStyle w:val="FirstParagraph"/>
      </w:pPr>
      <w:r>
        <w:rPr>
          <w:i/>
          <w:iCs/>
        </w:rPr>
        <w:t xml:space="preserve">TL;DR: Message me in Canvas Inbox, cite anything that isn’t yours, never use AI to create anything you submit, and show up ready to work.</w:t>
      </w:r>
    </w:p>
    <w:bookmarkStart w:id="28" w:name="communication"/>
    <w:p>
      <w:pPr>
        <w:pStyle w:val="Heading2"/>
      </w:pPr>
      <w:r>
        <w:t xml:space="preserve">Communication</w:t>
      </w:r>
    </w:p>
    <w:p>
      <w:pPr>
        <w:pStyle w:val="FirstParagraph"/>
      </w:pPr>
      <w:r>
        <w:t xml:space="preserve">Canvas Inbox is our channel — for everything. I don’t use email during the term, so if you send a Clark email, expect it to go unanswered; message me through Canvas Inbox instead. I respond within 24 hours on weekdays.</w:t>
      </w:r>
    </w:p>
    <w:bookmarkEnd w:id="28"/>
    <w:bookmarkStart w:id="30" w:name="citing-your-sources"/>
    <w:p>
      <w:pPr>
        <w:pStyle w:val="Heading2"/>
      </w:pPr>
      <w:r>
        <w:t xml:space="preserve">Citing Your Sources</w:t>
      </w:r>
    </w:p>
    <w:p>
      <w:pPr>
        <w:pStyle w:val="FirstParagraph"/>
      </w:pPr>
      <w:r>
        <w:t xml:space="preserve">It is expected that you are submitting your own work regardless of format. Citations in this class can be in APA 7, ACS, CSE, or if you must MLA Style. Written assignments in this course serve as tools to facilitate your growth as well as assessments to demonstrate achievement of course competencies. Your ideas and knowledge are important and cannot be replicated by others or by artificial intelligence (AI). There are resources available to support you including your professors, Clark College Librarians, and writing tutors. They want to help!</w:t>
      </w:r>
    </w:p>
    <w:p>
      <w:pPr>
        <w:pStyle w:val="BodyText"/>
      </w:pPr>
      <w:r>
        <w:t xml:space="preserve">Academic dishonesty often happens when students are stressed and feeling under pressure or when cultural differences lead to miscommunication around local customs. There are two main types of academic dishonesty. Plagiarism is when a student doesn’t credit or properly cite the sources for their academic work. Cheating refers to a student getting or giving help on assignments that isn’t allowed by the professor. Use of AI tools submitted as your own work will be considered both plagiarism and cheating.</w:t>
      </w:r>
    </w:p>
    <w:p>
      <w:pPr>
        <w:pStyle w:val="BodyText"/>
      </w:pPr>
      <w:r>
        <w:t xml:space="preserve">A citation is when you give credit to another source of information that you are using in your work. This course has specific expectations about how you cite sources when you are referring to work that is not your own (for example, if you use an outside quote in a discussion post, etc.). To avoid plagiarism (when you intentionally or unintentionally present someone else’s work as your own), you will need to signal that you are referencing outside material and give credit. Read the</w:t>
      </w:r>
      <w:r>
        <w:t xml:space="preserve"> </w:t>
      </w:r>
      <w:hyperlink r:id="rId29">
        <w:r>
          <w:rPr>
            <w:rStyle w:val="Hyperlink"/>
          </w:rPr>
          <w:t xml:space="preserve">plagiarism information from Clark College Libraries</w:t>
        </w:r>
      </w:hyperlink>
      <w:r>
        <w:t xml:space="preserve"> </w:t>
      </w:r>
      <w:r>
        <w:t xml:space="preserve">to learn about what plagiarism is and how to avoid it. It has a tutorial, tips, and style guides for citations. Ask us for help on this - it’s freely given!</w:t>
      </w:r>
    </w:p>
    <w:bookmarkEnd w:id="30"/>
    <w:bookmarkStart w:id="31" w:name="X557e592dac108a6d1044d97136f1b079f25201c"/>
    <w:p>
      <w:pPr>
        <w:pStyle w:val="Heading2"/>
      </w:pPr>
      <w:r>
        <w:t xml:space="preserve">AI (Artificial Intelligence) Guidelines — Community AI Agreement</w:t>
      </w:r>
    </w:p>
    <w:p>
      <w:pPr>
        <w:pStyle w:val="FirstParagraph"/>
      </w:pPr>
      <w:r>
        <w:rPr>
          <w:i/>
          <w:iCs/>
        </w:rPr>
        <w:t xml:space="preserve">TL;DR: No AI-generated content anywhere, in anything you submit — discussions, labs, ALEKS, quizzes, the Final Project. No exceptions, no declaring your way around it. Any AI use in a submission earns 20% on that assignment — a failing score — with repeated or more serious violations dropping to zero.</w:t>
      </w:r>
    </w:p>
    <w:p>
      <w:pPr>
        <w:pStyle w:val="BodyText"/>
      </w:pPr>
      <w:r>
        <w:rPr>
          <w:b/>
          <w:bCs/>
        </w:rPr>
        <w:t xml:space="preserve">Writing is integral to thinking. It is also hard.</w:t>
      </w:r>
      <w:r>
        <w:t xml:space="preserve"> </w:t>
      </w:r>
      <w:r>
        <w:t xml:space="preserve">In this class, I look forward to and am excited to see your original work and perspectives written in your own voice. You are not graded on grammar. Natural language processing (NLP) applications like ChatGPT, OpenAI, xAI, and LLMs like DeepSeek may not be used to create any part of the work you submit in this course. You should note that the material generated by these programs may be inaccurate, incomplete, biased, or otherwise really crappy. Beware that use WILL stifle your own independent thinking and creativity. You cannot submit any work or even one sentence generated by an AI tool as your own. That includes</w:t>
      </w:r>
      <w:r>
        <w:t xml:space="preserve"> </w:t>
      </w:r>
      <w:r>
        <w:t xml:space="preserve">“brainstormed”</w:t>
      </w:r>
      <w:r>
        <w:t xml:space="preserve"> </w:t>
      </w:r>
      <w:r>
        <w:t xml:space="preserve">material or ideas — AI cannot brainstorm for you, even if you credit it.</w:t>
      </w:r>
      <w:r>
        <w:t xml:space="preserve"> </w:t>
      </w:r>
      <w:r>
        <w:rPr>
          <w:b/>
          <w:bCs/>
        </w:rPr>
        <w:t xml:space="preserve">Assignments with AI-generated or AI-edited content earn 20% — a failing score. Repeated or more serious violations may result in a zero on that assignment.</w:t>
      </w:r>
    </w:p>
    <w:p>
      <w:pPr>
        <w:pStyle w:val="BodyText"/>
      </w:pPr>
      <w:r>
        <w:t xml:space="preserve">Think of the help you get from NLP apps as a much less sophisticated version of the assistance you can receive (for free!) from the Clark College Librarians or Writing Center tutors. A librarian or tutor might legitimately ask you a question to jump-start your imagination, or identify a poorly organized paragraph, but should never do the writing for you. A major difference here is that an NLP app is not a person. It’s a machine which is adept at recognizing patterns and reflecting those patterns back at us. It cannot think for itself. It cannot think for you. It is getting worse at writing for you.</w:t>
      </w:r>
    </w:p>
    <w:p>
      <w:pPr>
        <w:pStyle w:val="BodyText"/>
      </w:pPr>
      <w:r>
        <w:rPr>
          <w:b/>
          <w:bCs/>
        </w:rPr>
        <w:t xml:space="preserve">We need honest folks in healthcare occupations. Here’s how to avoid cheating:</w:t>
      </w:r>
    </w:p>
    <w:p>
      <w:pPr>
        <w:pStyle w:val="Compact"/>
        <w:numPr>
          <w:ilvl w:val="0"/>
          <w:numId w:val="1004"/>
        </w:numPr>
      </w:pPr>
      <w:r>
        <w:rPr>
          <w:b/>
          <w:bCs/>
        </w:rPr>
        <w:t xml:space="preserve">Document ALL your work offline in Microsoft Word in your OneDrive (see Canvas).</w:t>
      </w:r>
    </w:p>
    <w:p>
      <w:pPr>
        <w:pStyle w:val="Compact"/>
        <w:numPr>
          <w:ilvl w:val="0"/>
          <w:numId w:val="1004"/>
        </w:numPr>
      </w:pPr>
      <w:r>
        <w:rPr>
          <w:b/>
          <w:bCs/>
        </w:rPr>
        <w:t xml:space="preserve">Appropriate use of AI for any assignment in this class:</w:t>
      </w:r>
    </w:p>
    <w:p>
      <w:pPr>
        <w:pStyle w:val="Compact"/>
        <w:numPr>
          <w:ilvl w:val="1"/>
          <w:numId w:val="1005"/>
        </w:numPr>
      </w:pPr>
      <w:r>
        <w:t xml:space="preserve">You are free to use spell check, grammar check, and synonym identification tools in applications (e.g., those in Microsoft Word, Google Docs, Pages, or Canvas).</w:t>
      </w:r>
    </w:p>
    <w:p>
      <w:pPr>
        <w:pStyle w:val="Compact"/>
        <w:numPr>
          <w:ilvl w:val="1"/>
          <w:numId w:val="1005"/>
        </w:numPr>
      </w:pPr>
      <w:r>
        <w:t xml:space="preserve">You are free to use in-app recommendations when it comes to spelling and grammar of only sentences you have written entirely yourself first.</w:t>
      </w:r>
    </w:p>
    <w:p>
      <w:pPr>
        <w:pStyle w:val="Compact"/>
        <w:numPr>
          <w:ilvl w:val="1"/>
          <w:numId w:val="1005"/>
        </w:numPr>
      </w:pPr>
      <w:r>
        <w:t xml:space="preserve">You are free to use in-app recommendations when it comes to tweaking outlines you have written entirely yourself first.</w:t>
      </w:r>
    </w:p>
    <w:p>
      <w:pPr>
        <w:pStyle w:val="Compact"/>
        <w:numPr>
          <w:ilvl w:val="0"/>
          <w:numId w:val="1004"/>
        </w:numPr>
      </w:pPr>
      <w:r>
        <w:rPr>
          <w:b/>
          <w:bCs/>
        </w:rPr>
        <w:t xml:space="preserve">Inappropriate use of AI for any assignment in this class:</w:t>
      </w:r>
    </w:p>
    <w:p>
      <w:pPr>
        <w:pStyle w:val="Compact"/>
        <w:numPr>
          <w:ilvl w:val="1"/>
          <w:numId w:val="1006"/>
        </w:numPr>
      </w:pPr>
      <w:r>
        <w:t xml:space="preserve">You cannot have an app write a draft (either rough or final) or brainstorm any assignment.</w:t>
      </w:r>
    </w:p>
    <w:p>
      <w:pPr>
        <w:pStyle w:val="Compact"/>
        <w:numPr>
          <w:ilvl w:val="1"/>
          <w:numId w:val="1006"/>
        </w:numPr>
      </w:pPr>
      <w:r>
        <w:t xml:space="preserve">You cannot use any content generated from prompts given to you in assignments.</w:t>
      </w:r>
    </w:p>
    <w:p>
      <w:pPr>
        <w:pStyle w:val="Compact"/>
        <w:numPr>
          <w:ilvl w:val="1"/>
          <w:numId w:val="1006"/>
        </w:numPr>
      </w:pPr>
      <w:r>
        <w:t xml:space="preserve">You cannot use sentences or paragraphs suggested by an app — not even with quotation marks and a citation.</w:t>
      </w:r>
    </w:p>
    <w:p>
      <w:pPr>
        <w:pStyle w:val="Compact"/>
        <w:numPr>
          <w:ilvl w:val="1"/>
          <w:numId w:val="1006"/>
        </w:numPr>
      </w:pPr>
      <w:r>
        <w:t xml:space="preserve">You cannot have an app reply to your classmates or provide their words to an AI tool.</w:t>
      </w:r>
      <w:r>
        <w:t xml:space="preserve"> </w:t>
      </w:r>
      <w:r>
        <w:rPr>
          <w:b/>
          <w:bCs/>
        </w:rPr>
        <w:t xml:space="preserve">This is a violation of your classmates’ privacy as a student at Clark.</w:t>
      </w:r>
    </w:p>
    <w:p>
      <w:pPr>
        <w:pStyle w:val="Compact"/>
        <w:numPr>
          <w:ilvl w:val="1"/>
          <w:numId w:val="1006"/>
        </w:numPr>
      </w:pPr>
      <w:r>
        <w:t xml:space="preserve">You cannot give any AI tool the learning materials and assignments from this class.</w:t>
      </w:r>
      <w:r>
        <w:t xml:space="preserve"> </w:t>
      </w:r>
      <w:r>
        <w:rPr>
          <w:b/>
          <w:bCs/>
        </w:rPr>
        <w:t xml:space="preserve">This is a violation of my privacy, as these materials were made by us.</w:t>
      </w:r>
    </w:p>
    <w:p>
      <w:pPr>
        <w:pStyle w:val="Compact"/>
        <w:numPr>
          <w:ilvl w:val="0"/>
          <w:numId w:val="1004"/>
        </w:numPr>
      </w:pPr>
      <w:r>
        <w:rPr>
          <w:b/>
          <w:bCs/>
        </w:rPr>
        <w:t xml:space="preserve">Evidence of inappropriate AI use will be grounds for submission of an Academic Dishonesty report to the College, along with course sanctions at my discretion.</w:t>
      </w:r>
    </w:p>
    <w:p>
      <w:pPr>
        <w:pStyle w:val="BlockText"/>
      </w:pPr>
      <w:r>
        <w:rPr>
          <w:b/>
          <w:bCs/>
        </w:rPr>
        <w:t xml:space="preserve">Dr. B’s Note:</w:t>
      </w:r>
      <w:r>
        <w:t xml:space="preserve"> </w:t>
      </w:r>
      <w:r>
        <w:rPr>
          <w:i/>
          <w:iCs/>
        </w:rPr>
        <w:t xml:space="preserve">You’re entering health careers where accuracy and integrity matter. This policy isn’t about distrust — it’s about protecting your own growth as a thinker, which is the actual skill you’re here to build.</w:t>
      </w:r>
    </w:p>
    <w:bookmarkEnd w:id="31"/>
    <w:bookmarkStart w:id="32" w:name="classroom-norms"/>
    <w:p>
      <w:pPr>
        <w:pStyle w:val="Heading2"/>
      </w:pPr>
      <w:r>
        <w:t xml:space="preserve">Classroom Norms</w:t>
      </w:r>
    </w:p>
    <w:p>
      <w:pPr>
        <w:pStyle w:val="FirstParagraph"/>
      </w:pPr>
      <w:r>
        <w:t xml:space="preserve">As your professor, I want to make clear my commitment to creating a welcoming and compassionate classroom culture in-person and online that supports a variety of thoughts, perspectives, and lived experiences. Healthcare occupations are founded on ethical and professional standards that are improved through the inclusion of diverse voices and perspectives. We value an inclusive environment, and harassment, bias, hate, and discrimination directed at a peer or professor will not be tolerated.</w:t>
      </w:r>
    </w:p>
    <w:p>
      <w:pPr>
        <w:pStyle w:val="BodyText"/>
      </w:pPr>
      <w:r>
        <w:t xml:space="preserve">To honor these commitments, I expect that everyone — including me — will:</w:t>
      </w:r>
    </w:p>
    <w:p>
      <w:pPr>
        <w:pStyle w:val="Compact"/>
        <w:numPr>
          <w:ilvl w:val="0"/>
          <w:numId w:val="1007"/>
        </w:numPr>
      </w:pPr>
      <w:r>
        <w:t xml:space="preserve">Be Kind, Patient, Understanding</w:t>
      </w:r>
    </w:p>
    <w:p>
      <w:pPr>
        <w:pStyle w:val="Compact"/>
        <w:numPr>
          <w:ilvl w:val="0"/>
          <w:numId w:val="1007"/>
        </w:numPr>
      </w:pPr>
      <w:r>
        <w:t xml:space="preserve">Create a brave learning space</w:t>
      </w:r>
    </w:p>
    <w:p>
      <w:pPr>
        <w:pStyle w:val="Compact"/>
        <w:numPr>
          <w:ilvl w:val="0"/>
          <w:numId w:val="1007"/>
        </w:numPr>
      </w:pPr>
      <w:r>
        <w:t xml:space="preserve">Learning can be tough, discomfort is welcome</w:t>
      </w:r>
    </w:p>
    <w:p>
      <w:pPr>
        <w:pStyle w:val="Compact"/>
        <w:numPr>
          <w:ilvl w:val="0"/>
          <w:numId w:val="1007"/>
        </w:numPr>
      </w:pPr>
      <w:r>
        <w:t xml:space="preserve">Practice graceful learning</w:t>
      </w:r>
    </w:p>
    <w:p>
      <w:pPr>
        <w:pStyle w:val="Compact"/>
        <w:numPr>
          <w:ilvl w:val="0"/>
          <w:numId w:val="1007"/>
        </w:numPr>
      </w:pPr>
      <w:r>
        <w:t xml:space="preserve">Respect each other’s perspectives</w:t>
      </w:r>
    </w:p>
    <w:p>
      <w:pPr>
        <w:pStyle w:val="Compact"/>
        <w:numPr>
          <w:ilvl w:val="0"/>
          <w:numId w:val="1007"/>
        </w:numPr>
      </w:pPr>
      <w:r>
        <w:t xml:space="preserve">Make space, take space</w:t>
      </w:r>
    </w:p>
    <w:p>
      <w:pPr>
        <w:pStyle w:val="Compact"/>
        <w:numPr>
          <w:ilvl w:val="0"/>
          <w:numId w:val="1007"/>
        </w:numPr>
      </w:pPr>
      <w:r>
        <w:t xml:space="preserve">Include others in the conversation</w:t>
      </w:r>
    </w:p>
    <w:p>
      <w:pPr>
        <w:pStyle w:val="Compact"/>
        <w:numPr>
          <w:ilvl w:val="0"/>
          <w:numId w:val="1007"/>
        </w:numPr>
      </w:pPr>
      <w:r>
        <w:t xml:space="preserve">Stay present, but take breaks when you need them</w:t>
      </w:r>
    </w:p>
    <w:p>
      <w:pPr>
        <w:pStyle w:val="Compact"/>
        <w:numPr>
          <w:ilvl w:val="0"/>
          <w:numId w:val="1007"/>
        </w:numPr>
      </w:pPr>
      <w:r>
        <w:t xml:space="preserve">Listen to understand, not speak next</w:t>
      </w:r>
    </w:p>
    <w:p>
      <w:pPr>
        <w:pStyle w:val="Compact"/>
        <w:numPr>
          <w:ilvl w:val="0"/>
          <w:numId w:val="1007"/>
        </w:numPr>
      </w:pPr>
      <w:r>
        <w:t xml:space="preserve">Stories told here stay here, knowledge leaves</w:t>
      </w:r>
    </w:p>
    <w:p>
      <w:pPr>
        <w:pStyle w:val="Compact"/>
        <w:numPr>
          <w:ilvl w:val="0"/>
          <w:numId w:val="1007"/>
        </w:numPr>
      </w:pPr>
      <w:r>
        <w:t xml:space="preserve">Accept reasonable boundaries and non-closure</w:t>
      </w:r>
    </w:p>
    <w:p>
      <w:pPr>
        <w:pStyle w:val="Compact"/>
        <w:numPr>
          <w:ilvl w:val="0"/>
          <w:numId w:val="1007"/>
        </w:numPr>
      </w:pPr>
      <w:r>
        <w:t xml:space="preserve">If someone is struggling, offer to help</w:t>
      </w:r>
    </w:p>
    <w:p>
      <w:pPr>
        <w:pStyle w:val="Compact"/>
        <w:numPr>
          <w:ilvl w:val="0"/>
          <w:numId w:val="1007"/>
        </w:numPr>
      </w:pPr>
      <w:r>
        <w:t xml:space="preserve">If you are struggling, seek help</w:t>
      </w:r>
    </w:p>
    <w:p>
      <w:pPr>
        <w:pStyle w:val="FirstParagraph"/>
      </w:pPr>
      <w:r>
        <w:t xml:space="preserve">Alongside that spirit, a few practical expectations:</w:t>
      </w:r>
    </w:p>
    <w:p>
      <w:pPr>
        <w:pStyle w:val="Compact"/>
        <w:numPr>
          <w:ilvl w:val="0"/>
          <w:numId w:val="1008"/>
        </w:numPr>
      </w:pPr>
      <w:r>
        <w:t xml:space="preserve">Complete each week’s assignments — discussions, labs, ALEKS — by the posted due date.</w:t>
      </w:r>
    </w:p>
    <w:p>
      <w:pPr>
        <w:pStyle w:val="Compact"/>
        <w:numPr>
          <w:ilvl w:val="0"/>
          <w:numId w:val="1008"/>
        </w:numPr>
      </w:pPr>
      <w:r>
        <w:t xml:space="preserve">Attend your scheduled labs (both) every week; all lab hours are required to pass the course — see the Lab Requirement section below for exactly what that means.</w:t>
      </w:r>
    </w:p>
    <w:p>
      <w:pPr>
        <w:pStyle w:val="Compact"/>
        <w:numPr>
          <w:ilvl w:val="0"/>
          <w:numId w:val="1008"/>
        </w:numPr>
      </w:pPr>
      <w:r>
        <w:t xml:space="preserve">Be a courteous member of the team and don’t get in the way of anyone else’s learning: post and reply before the due dates, not hours or minutes before.</w:t>
      </w:r>
    </w:p>
    <w:p>
      <w:pPr>
        <w:pStyle w:val="Compact"/>
        <w:numPr>
          <w:ilvl w:val="0"/>
          <w:numId w:val="1008"/>
        </w:numPr>
      </w:pPr>
      <w:r>
        <w:t xml:space="preserve">Tell me as early as you can about anything affecting your ability to take part fully.</w:t>
      </w:r>
    </w:p>
    <w:p>
      <w:pPr>
        <w:pStyle w:val="FirstParagraph"/>
      </w:pPr>
      <w:r>
        <w:rPr>
          <w:i/>
          <w:iCs/>
        </w:rPr>
        <w:t xml:space="preserve">“How you do anything is how you do everything.”</w:t>
      </w:r>
    </w:p>
    <w:bookmarkEnd w:id="32"/>
    <w:bookmarkEnd w:id="33"/>
    <w:bookmarkStart w:id="34" w:name="X762e0c562ca86535819c7c15adbe8dbe270c6b6"/>
    <w:p>
      <w:pPr>
        <w:pStyle w:val="Heading1"/>
      </w:pPr>
      <w:r>
        <w:t xml:space="preserve">What Are the Learning Goals in This Course?</w:t>
      </w:r>
    </w:p>
    <w:p>
      <w:pPr>
        <w:pStyle w:val="FirstParagraph"/>
      </w:pPr>
      <w:r>
        <w:rPr>
          <w:i/>
          <w:iCs/>
        </w:rPr>
        <w:t xml:space="preserve">TL;DR: By the end, you can apply organic and biochemistry reasoning to real health-career problems — and these skills tie directly to Clark’s General Education Competencies.</w:t>
      </w:r>
    </w:p>
    <w:p>
      <w:pPr>
        <w:pStyle w:val="BodyText"/>
      </w:pPr>
      <w:r>
        <w:t xml:space="preserve">General Education at Clark College empowers students to become informed, adaptable, and engaged community members who are prepared to contribute to a more just and equitable society. Through the competencies below, students in this class build a foundation of skills and knowledge to achieve their personal and professional goals:</w:t>
      </w:r>
    </w:p>
    <w:p>
      <w:pPr>
        <w:pStyle w:val="Compact"/>
        <w:numPr>
          <w:ilvl w:val="0"/>
          <w:numId w:val="1009"/>
        </w:numPr>
      </w:pPr>
      <w:r>
        <w:rPr>
          <w:b/>
          <w:bCs/>
        </w:rPr>
        <w:t xml:space="preserve">Critical Thinking 3</w:t>
      </w:r>
      <w:r>
        <w:t xml:space="preserve"> </w:t>
      </w:r>
      <w:r>
        <w:t xml:space="preserve">— Formulate well-reasoned arguments supported by evidence</w:t>
      </w:r>
    </w:p>
    <w:p>
      <w:pPr>
        <w:pStyle w:val="Compact"/>
        <w:numPr>
          <w:ilvl w:val="0"/>
          <w:numId w:val="1009"/>
        </w:numPr>
      </w:pPr>
      <w:r>
        <w:rPr>
          <w:b/>
          <w:bCs/>
        </w:rPr>
        <w:t xml:space="preserve">Critical Thinking 4</w:t>
      </w:r>
      <w:r>
        <w:t xml:space="preserve"> </w:t>
      </w:r>
      <w:r>
        <w:t xml:space="preserve">— Apply creative thinking skills to generate new ideas and solve problems</w:t>
      </w:r>
    </w:p>
    <w:p>
      <w:pPr>
        <w:pStyle w:val="Compact"/>
        <w:numPr>
          <w:ilvl w:val="0"/>
          <w:numId w:val="1009"/>
        </w:numPr>
      </w:pPr>
      <w:r>
        <w:rPr>
          <w:b/>
          <w:bCs/>
        </w:rPr>
        <w:t xml:space="preserve">Problem-Solving 1</w:t>
      </w:r>
      <w:r>
        <w:t xml:space="preserve"> </w:t>
      </w:r>
      <w:r>
        <w:t xml:space="preserve">— Accurately define a problem</w:t>
      </w:r>
    </w:p>
    <w:p>
      <w:pPr>
        <w:pStyle w:val="Compact"/>
        <w:numPr>
          <w:ilvl w:val="0"/>
          <w:numId w:val="1009"/>
        </w:numPr>
      </w:pPr>
      <w:r>
        <w:rPr>
          <w:b/>
          <w:bCs/>
        </w:rPr>
        <w:t xml:space="preserve">Communication 3</w:t>
      </w:r>
      <w:r>
        <w:t xml:space="preserve"> </w:t>
      </w:r>
      <w:r>
        <w:t xml:space="preserve">— Apply communication skills and concepts to real-world situations</w:t>
      </w:r>
    </w:p>
    <w:p>
      <w:pPr>
        <w:pStyle w:val="Compact"/>
        <w:numPr>
          <w:ilvl w:val="0"/>
          <w:numId w:val="1009"/>
        </w:numPr>
      </w:pPr>
      <w:r>
        <w:rPr>
          <w:b/>
          <w:bCs/>
        </w:rPr>
        <w:t xml:space="preserve">Civic &amp; Global Consciousness 1</w:t>
      </w:r>
      <w:r>
        <w:t xml:space="preserve"> </w:t>
      </w:r>
      <w:r>
        <w:t xml:space="preserve">— Explain global issues, considering various perspectives</w:t>
      </w:r>
    </w:p>
    <w:p>
      <w:pPr>
        <w:pStyle w:val="Compact"/>
        <w:numPr>
          <w:ilvl w:val="0"/>
          <w:numId w:val="1009"/>
        </w:numPr>
      </w:pPr>
      <w:r>
        <w:rPr>
          <w:b/>
          <w:bCs/>
        </w:rPr>
        <w:t xml:space="preserve">Civic &amp; Global Consciousness 3</w:t>
      </w:r>
      <w:r>
        <w:t xml:space="preserve"> </w:t>
      </w:r>
      <w:r>
        <w:t xml:space="preserve">— Identify the requirements of responsible civic engagement</w:t>
      </w:r>
    </w:p>
    <w:p>
      <w:pPr>
        <w:pStyle w:val="FirstParagraph"/>
      </w:pPr>
      <w:r>
        <w:t xml:space="preserve">Student learning outcomes are the skills and abilities that you are working to acquire, practice, and apply in class. They represent the learning goals for the term.</w:t>
      </w:r>
    </w:p>
    <w:p>
      <w:pPr>
        <w:pStyle w:val="BodyText"/>
      </w:pPr>
      <w:r>
        <w:rPr>
          <w:b/>
          <w:bCs/>
        </w:rPr>
        <w:t xml:space="preserve">Upon successful completion of this course, students will be able to:</w:t>
      </w:r>
    </w:p>
    <w:p>
      <w:pPr>
        <w:pStyle w:val="Compact"/>
        <w:numPr>
          <w:ilvl w:val="0"/>
          <w:numId w:val="1010"/>
        </w:numPr>
      </w:pPr>
      <w:r>
        <w:rPr>
          <w:b/>
          <w:bCs/>
        </w:rPr>
        <w:t xml:space="preserve">CLO1:</w:t>
      </w:r>
      <w:r>
        <w:t xml:space="preserve"> </w:t>
      </w:r>
      <w:r>
        <w:t xml:space="preserve">Apply fundamental rules of functional group reactivity, including acidity, oxidation and isomerism, to analyze chemical processes and assess their relevance to ecosystem and metabolic health.</w:t>
      </w:r>
    </w:p>
    <w:p>
      <w:pPr>
        <w:pStyle w:val="Compact"/>
        <w:numPr>
          <w:ilvl w:val="0"/>
          <w:numId w:val="1010"/>
        </w:numPr>
      </w:pPr>
      <w:r>
        <w:rPr>
          <w:b/>
          <w:bCs/>
        </w:rPr>
        <w:t xml:space="preserve">CLO2:</w:t>
      </w:r>
      <w:r>
        <w:t xml:space="preserve"> </w:t>
      </w:r>
      <w:r>
        <w:t xml:space="preserve">Compare and contrast the intermolecular and intramolecular forces that influence the shape and function of carbohydrates, lipids, proteins, and nucleic acids, and evaluate their implications for human health and disease.</w:t>
      </w:r>
    </w:p>
    <w:p>
      <w:pPr>
        <w:pStyle w:val="Compact"/>
        <w:numPr>
          <w:ilvl w:val="0"/>
          <w:numId w:val="1010"/>
        </w:numPr>
      </w:pPr>
      <w:r>
        <w:rPr>
          <w:b/>
          <w:bCs/>
        </w:rPr>
        <w:t xml:space="preserve">CLO3:</w:t>
      </w:r>
      <w:r>
        <w:t xml:space="preserve"> </w:t>
      </w:r>
      <w:r>
        <w:t xml:space="preserve">Analyze and evaluate contextual problems related to organic and biological molecules by applying critical thinking skills to propose effective solutions that address climate and public health challenges.</w:t>
      </w:r>
    </w:p>
    <w:p>
      <w:pPr>
        <w:pStyle w:val="Compact"/>
        <w:numPr>
          <w:ilvl w:val="0"/>
          <w:numId w:val="1010"/>
        </w:numPr>
      </w:pPr>
      <w:r>
        <w:rPr>
          <w:b/>
          <w:bCs/>
        </w:rPr>
        <w:t xml:space="preserve">CLO4:</w:t>
      </w:r>
      <w:r>
        <w:t xml:space="preserve"> </w:t>
      </w:r>
      <w:r>
        <w:t xml:space="preserve">Compose opinions, interpretations, and solid evidence regarding chemical systems and determine their impact on society in everyday life.</w:t>
      </w:r>
    </w:p>
    <w:p>
      <w:pPr>
        <w:pStyle w:val="FirstParagraph"/>
      </w:pPr>
      <w:r>
        <w:t xml:space="preserve">The table below lists the learning outcomes for this course with the corresponding assessments, to support Clark’s General Education Competencies: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Course Outcomes</w:t>
            </w:r>
          </w:p>
        </w:tc>
        <w:tc>
          <w:tcPr/>
          <w:p>
            <w:pPr>
              <w:pStyle w:val="Compact"/>
            </w:pPr>
            <w:r>
              <w:t xml:space="preserve">Assessment of Course Outcomes</w:t>
            </w:r>
          </w:p>
        </w:tc>
      </w:tr>
      <w:tr>
        <w:tc>
          <w:tcPr/>
          <w:p>
            <w:pPr>
              <w:pStyle w:val="Compact"/>
            </w:pPr>
            <w:r>
              <w:t xml:space="preserve">CLO1</w:t>
            </w:r>
          </w:p>
        </w:tc>
        <w:tc>
          <w:tcPr/>
          <w:p>
            <w:pPr>
              <w:pStyle w:val="Compact"/>
            </w:pPr>
            <w:r>
              <w:t xml:space="preserve">ALEKS Problem Sets, 3-2-1 Team Posts, Lab Experiments, OOL Discussions, Final TYC Project</w:t>
            </w:r>
          </w:p>
        </w:tc>
      </w:tr>
      <w:tr>
        <w:tc>
          <w:tcPr/>
          <w:p>
            <w:pPr>
              <w:pStyle w:val="Compact"/>
            </w:pPr>
            <w:r>
              <w:t xml:space="preserve">CLO2</w:t>
            </w:r>
          </w:p>
        </w:tc>
        <w:tc>
          <w:tcPr/>
          <w:p>
            <w:pPr>
              <w:pStyle w:val="Compact"/>
            </w:pPr>
            <w:r>
              <w:t xml:space="preserve">Quizzes, ALEKS Problem Sets, 3-2-1 Team Posts, Lab Experiments, Final TYC Project</w:t>
            </w:r>
          </w:p>
        </w:tc>
      </w:tr>
      <w:tr>
        <w:tc>
          <w:tcPr/>
          <w:p>
            <w:pPr>
              <w:pStyle w:val="Compact"/>
            </w:pPr>
            <w:r>
              <w:t xml:space="preserve">CLO3</w:t>
            </w:r>
          </w:p>
        </w:tc>
        <w:tc>
          <w:tcPr/>
          <w:p>
            <w:pPr>
              <w:pStyle w:val="Compact"/>
            </w:pPr>
            <w:r>
              <w:t xml:space="preserve">Quizzes, ALEKS Problem Sets, 3-2-1 Team Posts, Lab Experiments, Final TYC Project</w:t>
            </w:r>
          </w:p>
        </w:tc>
      </w:tr>
      <w:tr>
        <w:tc>
          <w:tcPr/>
          <w:p>
            <w:pPr>
              <w:pStyle w:val="Compact"/>
            </w:pPr>
            <w:r>
              <w:t xml:space="preserve">CLO4</w:t>
            </w:r>
          </w:p>
        </w:tc>
        <w:tc>
          <w:tcPr/>
          <w:p>
            <w:pPr>
              <w:pStyle w:val="Compact"/>
            </w:pPr>
            <w:r>
              <w:t xml:space="preserve">OOL Discussions, Lab Experiments, Final TYC Project</w:t>
            </w:r>
          </w:p>
        </w:tc>
      </w:tr>
    </w:tbl>
    <w:bookmarkEnd w:id="34"/>
    <w:bookmarkStart w:id="41" w:name="how-will-i-be-graded-and-why"/>
    <w:p>
      <w:pPr>
        <w:pStyle w:val="Heading1"/>
      </w:pPr>
      <w:r>
        <w:t xml:space="preserve">How Will I Be Graded, and Why?</w:t>
      </w:r>
    </w:p>
    <w:p>
      <w:pPr>
        <w:pStyle w:val="FirstParagraph"/>
      </w:pPr>
      <w:r>
        <w:rPr>
          <w:i/>
          <w:iCs/>
        </w:rPr>
        <w:t xml:space="preserve">TL;DR: 3-2-1 Team Posts 15% · OOL Discussions 15% · Lab Experiments 25% · Quizzes 20% · ALEKS Problem Sets 15% · Final TYC Project 10%. Here’s why those weights, and the full breakdown.</w:t>
      </w:r>
    </w:p>
    <w:p>
      <w:pPr>
        <w:pStyle w:val="BodyText"/>
      </w:pPr>
      <w:r>
        <w:t xml:space="preserve">These weights aren’t arbitrary. Lab Experiments carry the most weight because that’s where the real demonstration of your learning happens — applying what you know, not just recognizing it. Quizzes are the next-largest individual measure of your understanding. 3-2-1 Team Posts and OOL Discussions are lighter individually, but combined (30%) they carry as much weight as Labs. ALEKS Problem Sets support your learning but aren’t proof of understanding on their own, which is why they’re weighted below Labs and Quizzes. The Final TYC Project replaces a comprehensive exam because teaching a concept to someone else is a better test of whether you actually understand it than a timed exam is (e.g. “Learn one, do one, teach one.”)</w:t>
      </w:r>
    </w:p>
    <w:bookmarkStart w:id="35" w:name="Xdd0719f115f2bfe56e3e892841df085ef5ba506"/>
    <w:p>
      <w:pPr>
        <w:pStyle w:val="Heading2"/>
      </w:pPr>
      <w:r>
        <w:t xml:space="preserve">Assignment Categories and Their Percentage of the Final Grade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Category</w:t>
            </w:r>
          </w:p>
        </w:tc>
        <w:tc>
          <w:tcPr/>
          <w:p>
            <w:pPr>
              <w:pStyle w:val="Compact"/>
            </w:pPr>
            <w:r>
              <w:t xml:space="preserve">Weight</w:t>
            </w:r>
          </w:p>
        </w:tc>
        <w:tc>
          <w:tcPr/>
          <w:p>
            <w:pPr>
              <w:pStyle w:val="Compact"/>
            </w:pPr>
            <w:r>
              <w:t xml:space="preserve">What it is</w:t>
            </w:r>
          </w:p>
        </w:tc>
      </w:tr>
      <w:tr>
        <w:tc>
          <w:tcPr/>
          <w:p>
            <w:pPr>
              <w:pStyle w:val="Compact"/>
            </w:pPr>
            <w:r>
              <w:t xml:space="preserve">3-2-1 Team Posts</w:t>
            </w:r>
          </w:p>
        </w:tc>
        <w:tc>
          <w:tcPr/>
          <w:p>
            <w:pPr>
              <w:pStyle w:val="Compact"/>
            </w:pPr>
            <w:r>
              <w:t xml:space="preserve">15%</w:t>
            </w:r>
          </w:p>
        </w:tc>
        <w:tc>
          <w:tcPr/>
          <w:p>
            <w:pPr>
              <w:pStyle w:val="Compact"/>
            </w:pPr>
            <w:r>
              <w:t xml:space="preserve">Weekly 3-2-1 Team Discussions — one post Thursday after an in-lab team huddle, two replies answering teammates’ questions, and lecture Activities completed and uploaded</w:t>
            </w:r>
          </w:p>
        </w:tc>
      </w:tr>
      <w:tr>
        <w:tc>
          <w:tcPr/>
          <w:p>
            <w:pPr>
              <w:pStyle w:val="Compact"/>
            </w:pPr>
            <w:r>
              <w:t xml:space="preserve">OOL Discussions</w:t>
            </w:r>
          </w:p>
        </w:tc>
        <w:tc>
          <w:tcPr/>
          <w:p>
            <w:pPr>
              <w:pStyle w:val="Compact"/>
            </w:pPr>
            <w:r>
              <w:t xml:space="preserve">15%</w:t>
            </w:r>
          </w:p>
        </w:tc>
        <w:tc>
          <w:tcPr/>
          <w:p>
            <w:pPr>
              <w:pStyle w:val="Compact"/>
            </w:pPr>
            <w:r>
              <w:t xml:space="preserve">Weekly Outside-of-Lecture discussion post and replies</w:t>
            </w:r>
          </w:p>
        </w:tc>
      </w:tr>
      <w:tr>
        <w:tc>
          <w:tcPr/>
          <w:p>
            <w:pPr>
              <w:pStyle w:val="Compact"/>
            </w:pPr>
            <w:r>
              <w:t xml:space="preserve">Lab Experiments</w:t>
            </w:r>
          </w:p>
        </w:tc>
        <w:tc>
          <w:tcPr/>
          <w:p>
            <w:pPr>
              <w:pStyle w:val="Compact"/>
            </w:pPr>
            <w:r>
              <w:t xml:space="preserve">25%</w:t>
            </w:r>
          </w:p>
        </w:tc>
        <w:tc>
          <w:tcPr/>
          <w:p>
            <w:pPr>
              <w:pStyle w:val="Compact"/>
            </w:pPr>
            <w:r>
              <w:t xml:space="preserve">Weekly on-campus labs — Background, Methods, Results, Findings, and Conclusions (100 points per lab)</w:t>
            </w:r>
          </w:p>
        </w:tc>
      </w:tr>
      <w:tr>
        <w:tc>
          <w:tcPr/>
          <w:p>
            <w:pPr>
              <w:pStyle w:val="Compact"/>
            </w:pPr>
            <w:r>
              <w:t xml:space="preserve">Quizzes</w:t>
            </w:r>
          </w:p>
        </w:tc>
        <w:tc>
          <w:tcPr/>
          <w:p>
            <w:pPr>
              <w:pStyle w:val="Compact"/>
            </w:pPr>
            <w:r>
              <w:t xml:space="preserve">20%</w:t>
            </w:r>
          </w:p>
        </w:tc>
        <w:tc>
          <w:tcPr/>
          <w:p>
            <w:pPr>
              <w:pStyle w:val="Compact"/>
            </w:pPr>
            <w:r>
              <w:t xml:space="preserve">In-person, given during lab (Weeks 4, 6, 8, and 10 — Week 10 carries both Quiz 4 and Quiz 5)</w:t>
            </w:r>
          </w:p>
        </w:tc>
      </w:tr>
      <w:tr>
        <w:tc>
          <w:tcPr/>
          <w:p>
            <w:pPr>
              <w:pStyle w:val="Compact"/>
            </w:pPr>
            <w:r>
              <w:t xml:space="preserve">ALEKS Problem Sets</w:t>
            </w:r>
          </w:p>
        </w:tc>
        <w:tc>
          <w:tcPr/>
          <w:p>
            <w:pPr>
              <w:pStyle w:val="Compact"/>
            </w:pPr>
            <w:r>
              <w:t xml:space="preserve">15%</w:t>
            </w:r>
          </w:p>
        </w:tc>
        <w:tc>
          <w:tcPr/>
          <w:p>
            <w:pPr>
              <w:pStyle w:val="Compact"/>
            </w:pPr>
            <w:r>
              <w:t xml:space="preserve">Online adaptive homework for content practice</w:t>
            </w:r>
          </w:p>
        </w:tc>
      </w:tr>
      <w:tr>
        <w:tc>
          <w:tcPr/>
          <w:p>
            <w:pPr>
              <w:pStyle w:val="Compact"/>
            </w:pPr>
            <w:r>
              <w:t xml:space="preserve">Final TYC Project</w:t>
            </w:r>
          </w:p>
        </w:tc>
        <w:tc>
          <w:tcPr/>
          <w:p>
            <w:pPr>
              <w:pStyle w:val="Compact"/>
            </w:pPr>
            <w:r>
              <w:t xml:space="preserve">10%</w:t>
            </w:r>
          </w:p>
        </w:tc>
        <w:tc>
          <w:tcPr/>
          <w:p>
            <w:pPr>
              <w:pStyle w:val="Compact"/>
            </w:pPr>
            <w:r>
              <w:t xml:space="preserve">Teach Your Community project — no final exam – details in the TYC Canvas module</w:t>
            </w:r>
          </w:p>
        </w:tc>
      </w:tr>
    </w:tbl>
    <w:p>
      <w:pPr>
        <w:pStyle w:val="BodyText"/>
      </w:pPr>
      <w:r>
        <w:rPr>
          <w:b/>
          <w:bCs/>
        </w:rPr>
        <w:t xml:space="preserve">You must earn at least 65% in every one of the six grading categories above to pass this course — not just an overall passing average.</w:t>
      </w:r>
      <w:r>
        <w:t xml:space="preserve"> </w:t>
      </w:r>
      <w:r>
        <w:t xml:space="preserve">Falling below 65% in any single category, even with a passing overall grade, means you cannot pass.</w:t>
      </w:r>
    </w:p>
    <w:bookmarkEnd w:id="35"/>
    <w:bookmarkStart w:id="36" w:name="about-the-lab-requirement"/>
    <w:p>
      <w:pPr>
        <w:pStyle w:val="Heading2"/>
      </w:pPr>
      <w:r>
        <w:t xml:space="preserve">About the Lab Requirement</w:t>
      </w:r>
    </w:p>
    <w:p>
      <w:pPr>
        <w:pStyle w:val="FirstParagraph"/>
      </w:pPr>
      <w:r>
        <w:t xml:space="preserve">Lab hours are part of this course’s official credit hours — 1 of your 5 credits is earned specifically through lab. Because of that, each lab must genuinely demonstrate your work, not just check a box.</w:t>
      </w:r>
    </w:p>
    <w:p>
      <w:pPr>
        <w:pStyle w:val="Compact"/>
        <w:numPr>
          <w:ilvl w:val="0"/>
          <w:numId w:val="1011"/>
        </w:numPr>
      </w:pPr>
      <w:r>
        <w:t xml:space="preserve">Each lab has five parts, totaling 100 points: Background (10 pts) and Methods (40 pts), Results (20 pts), and Findings (10 pts) and Conclusions (20 pts) — see Weekly Flow above for exactly when each is due.</w:t>
      </w:r>
    </w:p>
    <w:p>
      <w:pPr>
        <w:pStyle w:val="Compact"/>
        <w:numPr>
          <w:ilvl w:val="0"/>
          <w:numId w:val="1011"/>
        </w:numPr>
      </w:pPr>
      <w:r>
        <w:t xml:space="preserve">Makeup labs are typically not possible. If you miss one experiment, notify me beforehand to be eligible for make-up data — you’ll take an 11-point deduction for not collecting the data yourself, but can still complete the rest of the lab assignments for up to 89 of the 100 possible points.</w:t>
      </w:r>
    </w:p>
    <w:p>
      <w:pPr>
        <w:pStyle w:val="Compact"/>
        <w:numPr>
          <w:ilvl w:val="0"/>
          <w:numId w:val="1011"/>
        </w:numPr>
      </w:pPr>
      <w:r>
        <w:t xml:space="preserve">If you miss two experiments, the second missed lab is scored zero.</w:t>
      </w:r>
    </w:p>
    <w:p>
      <w:pPr>
        <w:pStyle w:val="Compact"/>
        <w:numPr>
          <w:ilvl w:val="0"/>
          <w:numId w:val="1011"/>
        </w:numPr>
      </w:pPr>
      <w:r>
        <w:t xml:space="preserve">Missing three weeks of lab, or having two incomplete labs, means you cannot pass the course.</w:t>
      </w:r>
    </w:p>
    <w:bookmarkEnd w:id="36"/>
    <w:bookmarkStart w:id="37" w:name="grading-scale"/>
    <w:p>
      <w:pPr>
        <w:pStyle w:val="Heading2"/>
      </w:pPr>
      <w:r>
        <w:t xml:space="preserve">Grading Scale</w:t>
      </w:r>
    </w:p>
    <w:p>
      <w:pPr>
        <w:pStyle w:val="FirstParagraph"/>
      </w:pPr>
      <w:r>
        <w:t xml:space="preserve">Note: Clark does not award C-, D+, or D- in this course — a C- does not transfer, so grading stops at a clean C, then D, then F.</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Percent</w:t>
            </w:r>
          </w:p>
        </w:tc>
        <w:tc>
          <w:tcPr/>
          <w:p>
            <w:pPr>
              <w:pStyle w:val="Compact"/>
            </w:pPr>
            <w:r>
              <w:t xml:space="preserve">Grade</w:t>
            </w:r>
          </w:p>
        </w:tc>
        <w:tc>
          <w:tcPr/>
          <w:p>
            <w:pPr>
              <w:pStyle w:val="Compact"/>
            </w:pPr>
            <w:r>
              <w:t xml:space="preserve">Percent</w:t>
            </w:r>
          </w:p>
        </w:tc>
        <w:tc>
          <w:tcPr/>
          <w:p>
            <w:pPr>
              <w:pStyle w:val="Compact"/>
            </w:pPr>
            <w:r>
              <w:t xml:space="preserve">Grade</w:t>
            </w:r>
          </w:p>
        </w:tc>
        <w:tc>
          <w:tcPr/>
          <w:p>
            <w:pPr>
              <w:pStyle w:val="Compact"/>
            </w:pPr>
            <w:r>
              <w:t xml:space="preserve">Percent</w:t>
            </w:r>
          </w:p>
        </w:tc>
        <w:tc>
          <w:tcPr/>
          <w:p>
            <w:pPr>
              <w:pStyle w:val="Compact"/>
            </w:pPr>
            <w:r>
              <w:t xml:space="preserve">Grade</w:t>
            </w:r>
          </w:p>
        </w:tc>
      </w:tr>
      <w:tr>
        <w:tc>
          <w:tcPr/>
          <w:p>
            <w:pPr>
              <w:pStyle w:val="Compact"/>
            </w:pPr>
            <w:r>
              <w:t xml:space="preserve">93 up to 100</w:t>
            </w:r>
          </w:p>
        </w:tc>
        <w:tc>
          <w:tcPr/>
          <w:p>
            <w:pPr>
              <w:pStyle w:val="Compact"/>
            </w:pPr>
            <w:r>
              <w:t xml:space="preserve">A</w:t>
            </w:r>
          </w:p>
        </w:tc>
        <w:tc>
          <w:tcPr/>
          <w:p>
            <w:pPr>
              <w:pStyle w:val="Compact"/>
            </w:pPr>
            <w:r>
              <w:t xml:space="preserve">83 up to 87</w:t>
            </w:r>
          </w:p>
        </w:tc>
        <w:tc>
          <w:tcPr/>
          <w:p>
            <w:pPr>
              <w:pStyle w:val="Compact"/>
            </w:pPr>
            <w:r>
              <w:t xml:space="preserve">B</w:t>
            </w:r>
          </w:p>
        </w:tc>
        <w:tc>
          <w:tcPr/>
          <w:p>
            <w:pPr>
              <w:pStyle w:val="Compact"/>
            </w:pPr>
            <w:r>
              <w:t xml:space="preserve">73 up to 77</w:t>
            </w:r>
          </w:p>
        </w:tc>
        <w:tc>
          <w:tcPr/>
          <w:p>
            <w:pPr>
              <w:pStyle w:val="Compact"/>
            </w:pPr>
            <w:r>
              <w:t xml:space="preserve">C</w:t>
            </w:r>
          </w:p>
        </w:tc>
      </w:tr>
      <w:tr>
        <w:tc>
          <w:tcPr/>
          <w:p>
            <w:pPr>
              <w:pStyle w:val="Compact"/>
            </w:pPr>
            <w:r>
              <w:t xml:space="preserve">90 up to 93</w:t>
            </w:r>
          </w:p>
        </w:tc>
        <w:tc>
          <w:tcPr/>
          <w:p>
            <w:pPr>
              <w:pStyle w:val="Compact"/>
            </w:pPr>
            <w:r>
              <w:t xml:space="preserve">A-</w:t>
            </w:r>
          </w:p>
        </w:tc>
        <w:tc>
          <w:tcPr/>
          <w:p>
            <w:pPr>
              <w:pStyle w:val="Compact"/>
            </w:pPr>
            <w:r>
              <w:t xml:space="preserve">80 up to 83</w:t>
            </w:r>
          </w:p>
        </w:tc>
        <w:tc>
          <w:tcPr/>
          <w:p>
            <w:pPr>
              <w:pStyle w:val="Compact"/>
            </w:pPr>
            <w:r>
              <w:t xml:space="preserve">B-</w:t>
            </w:r>
          </w:p>
        </w:tc>
        <w:tc>
          <w:tcPr/>
          <w:p>
            <w:pPr>
              <w:pStyle w:val="Compact"/>
            </w:pPr>
            <w:r>
              <w:t xml:space="preserve">60 up to 73</w:t>
            </w:r>
          </w:p>
        </w:tc>
        <w:tc>
          <w:tcPr/>
          <w:p>
            <w:pPr>
              <w:pStyle w:val="Compact"/>
            </w:pPr>
            <w:r>
              <w:t xml:space="preserve">D</w:t>
            </w:r>
          </w:p>
        </w:tc>
      </w:tr>
      <w:tr>
        <w:tc>
          <w:tcPr/>
          <w:p>
            <w:pPr>
              <w:pStyle w:val="Compact"/>
            </w:pPr>
            <w:r>
              <w:t xml:space="preserve">87 up to 90</w:t>
            </w:r>
          </w:p>
        </w:tc>
        <w:tc>
          <w:tcPr/>
          <w:p>
            <w:pPr>
              <w:pStyle w:val="Compact"/>
            </w:pPr>
            <w:r>
              <w:t xml:space="preserve">B+</w:t>
            </w:r>
          </w:p>
        </w:tc>
        <w:tc>
          <w:tcPr/>
          <w:p>
            <w:pPr>
              <w:pStyle w:val="Compact"/>
            </w:pPr>
            <w:r>
              <w:t xml:space="preserve">77 up to 80</w:t>
            </w:r>
          </w:p>
        </w:tc>
        <w:tc>
          <w:tcPr/>
          <w:p>
            <w:pPr>
              <w:pStyle w:val="Compact"/>
            </w:pPr>
            <w:r>
              <w:t xml:space="preserve">C+</w:t>
            </w:r>
          </w:p>
        </w:tc>
        <w:tc>
          <w:tcPr/>
          <w:p>
            <w:pPr>
              <w:pStyle w:val="Compact"/>
            </w:pPr>
            <w:r>
              <w:t xml:space="preserve">0 up to 60</w:t>
            </w:r>
          </w:p>
        </w:tc>
        <w:tc>
          <w:tcPr/>
          <w:p>
            <w:pPr>
              <w:pStyle w:val="Compact"/>
            </w:pPr>
            <w:r>
              <w:t xml:space="preserve">F</w:t>
            </w:r>
          </w:p>
        </w:tc>
      </w:tr>
    </w:tbl>
    <w:bookmarkEnd w:id="37"/>
    <w:bookmarkStart w:id="38" w:name="late-work"/>
    <w:p>
      <w:pPr>
        <w:pStyle w:val="Heading2"/>
      </w:pPr>
      <w:r>
        <w:t xml:space="preserve">Late Work</w:t>
      </w:r>
    </w:p>
    <w:p>
      <w:pPr>
        <w:pStyle w:val="FirstParagraph"/>
      </w:pPr>
      <w:r>
        <w:t xml:space="preserve">Life happens during an academic term. I trust you know your situation and I don’t need an explanation. My position is to support your learning and your success.</w:t>
      </w:r>
    </w:p>
    <w:p>
      <w:pPr>
        <w:pStyle w:val="Compact"/>
        <w:numPr>
          <w:ilvl w:val="0"/>
          <w:numId w:val="1012"/>
        </w:numPr>
      </w:pPr>
      <w:r>
        <w:t xml:space="preserve">All assignments remain open after the due date, losing 1% per hour until worth zero points (approximately 5 days). Assignments can still be submitted after this, but the score will be zero.</w:t>
      </w:r>
    </w:p>
    <w:p>
      <w:pPr>
        <w:pStyle w:val="Compact"/>
        <w:numPr>
          <w:ilvl w:val="0"/>
          <w:numId w:val="1012"/>
        </w:numPr>
      </w:pPr>
      <w:r>
        <w:t xml:space="preserve">In-person lab attendance and the Final TYC Project have no grace period.</w:t>
      </w:r>
    </w:p>
    <w:p>
      <w:pPr>
        <w:pStyle w:val="Compact"/>
        <w:numPr>
          <w:ilvl w:val="0"/>
          <w:numId w:val="1012"/>
        </w:numPr>
      </w:pPr>
      <w:r>
        <w:t xml:space="preserve">No due dates extend beyond the course end date.</w:t>
      </w:r>
    </w:p>
    <w:p>
      <w:pPr>
        <w:pStyle w:val="Compact"/>
        <w:numPr>
          <w:ilvl w:val="0"/>
          <w:numId w:val="1012"/>
        </w:numPr>
      </w:pPr>
      <w:r>
        <w:t xml:space="preserve">If something requiring a prolonged absence occurs, contact me via Canvas Inbox and let’s see what solutions are possible.</w:t>
      </w:r>
    </w:p>
    <w:bookmarkEnd w:id="38"/>
    <w:bookmarkStart w:id="39" w:name="feedback"/>
    <w:p>
      <w:pPr>
        <w:pStyle w:val="Heading2"/>
      </w:pPr>
      <w:r>
        <w:t xml:space="preserve">Feedback</w:t>
      </w:r>
    </w:p>
    <w:p>
      <w:pPr>
        <w:pStyle w:val="FirstParagraph"/>
      </w:pPr>
      <w:r>
        <w:t xml:space="preserve">Discussions and other work are graded within 48 hours of each due date.</w:t>
      </w:r>
    </w:p>
    <w:bookmarkEnd w:id="39"/>
    <w:bookmarkStart w:id="40" w:name="revision"/>
    <w:p>
      <w:pPr>
        <w:pStyle w:val="Heading2"/>
      </w:pPr>
      <w:r>
        <w:t xml:space="preserve">Revision</w:t>
      </w:r>
    </w:p>
    <w:p>
      <w:pPr>
        <w:pStyle w:val="FirstParagraph"/>
      </w:pPr>
      <w:r>
        <w:t xml:space="preserve">There is no separate revision or regrade policy at this time — the late-work window above functions as the built-in opportunity to catch up before work is scored.</w:t>
      </w:r>
    </w:p>
    <w:bookmarkEnd w:id="40"/>
    <w:bookmarkEnd w:id="41"/>
    <w:bookmarkStart w:id="73" w:name="Xc43a7a922298ad0f9db64bde08ef36f42168a56"/>
    <w:p>
      <w:pPr>
        <w:pStyle w:val="Heading1"/>
      </w:pPr>
      <w:r>
        <w:t xml:space="preserve">What Resources and Support Services Are Available to Me?</w:t>
      </w:r>
    </w:p>
    <w:p>
      <w:pPr>
        <w:pStyle w:val="FirstParagraph"/>
      </w:pPr>
      <w:r>
        <w:rPr>
          <w:i/>
          <w:iCs/>
        </w:rPr>
        <w:t xml:space="preserve">TL;DR: Tech Hub for Canvas/software problems, Tutoring or Librarians for coursework help, Basic Needs Hub if life is making this term hard.</w:t>
      </w:r>
    </w:p>
    <w:bookmarkStart w:id="47" w:name="technical-support"/>
    <w:p>
      <w:pPr>
        <w:pStyle w:val="Heading2"/>
      </w:pPr>
      <w:r>
        <w:t xml:space="preserve">Technical Support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Details</w:t>
            </w:r>
          </w:p>
        </w:tc>
      </w:tr>
      <w:tr>
        <w:tc>
          <w:tcPr/>
          <w:p>
            <w:pPr>
              <w:pStyle w:val="Compact"/>
            </w:pPr>
            <w:hyperlink r:id="rId42">
              <w:r>
                <w:rPr>
                  <w:rStyle w:val="Hyperlink"/>
                  <w:b/>
                  <w:bCs/>
                </w:rPr>
                <w:t xml:space="preserve">Tech Hub</w:t>
              </w:r>
            </w:hyperlink>
          </w:p>
        </w:tc>
        <w:tc>
          <w:tcPr/>
          <w:p>
            <w:pPr>
              <w:pStyle w:val="Compact"/>
            </w:pPr>
            <w:r>
              <w:t xml:space="preserve">Canvas, software, or account trouble —</w:t>
            </w:r>
            <w:r>
              <w:t xml:space="preserve"> </w:t>
            </w:r>
            <w:hyperlink r:id="rId43">
              <w:r>
                <w:rPr>
                  <w:rStyle w:val="Hyperlink"/>
                </w:rPr>
                <w:t xml:space="preserve">Scarpelli Hall 135</w:t>
              </w:r>
            </w:hyperlink>
            <w:r>
              <w:t xml:space="preserve"> </w:t>
            </w:r>
            <w:r>
              <w:t xml:space="preserve">·</w:t>
            </w:r>
            <w:r>
              <w:t xml:space="preserve"> </w:t>
            </w:r>
            <w:hyperlink r:id="rId44">
              <w:r>
                <w:rPr>
                  <w:rStyle w:val="Hyperlink"/>
                </w:rPr>
                <w:t xml:space="preserve">techhub@clark.edu</w:t>
              </w:r>
            </w:hyperlink>
            <w:r>
              <w:t xml:space="preserve"> </w:t>
            </w:r>
            <w:r>
              <w:t xml:space="preserve">· 360-992-2010</w:t>
            </w:r>
          </w:p>
        </w:tc>
      </w:tr>
      <w:tr>
        <w:tc>
          <w:tcPr/>
          <w:p>
            <w:pPr>
              <w:pStyle w:val="Compact"/>
            </w:pPr>
            <w:r>
              <w:rPr>
                <w:b/>
                <w:bCs/>
              </w:rPr>
              <w:t xml:space="preserve">To report a Canvas problem</w:t>
            </w:r>
          </w:p>
        </w:tc>
        <w:tc>
          <w:tcPr/>
          <w:p>
            <w:pPr>
              <w:pStyle w:val="Compact"/>
            </w:pPr>
            <w:r>
              <w:t xml:space="preserve">The Help button in Canvas →</w:t>
            </w:r>
            <w:r>
              <w:t xml:space="preserve"> </w:t>
            </w:r>
            <w:r>
              <w:t xml:space="preserve">“Report a Problem”</w:t>
            </w:r>
            <w:r>
              <w:t xml:space="preserve"> </w:t>
            </w:r>
            <w:r>
              <w:t xml:space="preserve">(replies come to your Clark Gmail) ·</w:t>
            </w:r>
            <w:r>
              <w:t xml:space="preserve"> </w:t>
            </w:r>
            <w:hyperlink r:id="rId45">
              <w:r>
                <w:rPr>
                  <w:rStyle w:val="Hyperlink"/>
                </w:rPr>
                <w:t xml:space="preserve">Canvas Guides</w:t>
              </w:r>
            </w:hyperlink>
            <w:r>
              <w:t xml:space="preserve"> </w:t>
            </w:r>
            <w:r>
              <w:t xml:space="preserve">·</w:t>
            </w:r>
            <w:r>
              <w:t xml:space="preserve"> </w:t>
            </w:r>
            <w:hyperlink r:id="rId46">
              <w:r>
                <w:rPr>
                  <w:rStyle w:val="Hyperlink"/>
                </w:rPr>
                <w:t xml:space="preserve">Student Guide</w:t>
              </w:r>
            </w:hyperlink>
          </w:p>
        </w:tc>
      </w:tr>
      <w:tr>
        <w:tc>
          <w:tcPr/>
          <w:p>
            <w:pPr>
              <w:pStyle w:val="Compact"/>
            </w:pPr>
            <w:r>
              <w:rPr>
                <w:b/>
                <w:bCs/>
              </w:rPr>
              <w:t xml:space="preserve">Setup help</w:t>
            </w:r>
          </w:p>
        </w:tc>
        <w:tc>
          <w:tcPr/>
          <w:p>
            <w:pPr>
              <w:pStyle w:val="Compact"/>
            </w:pPr>
            <w:r>
              <w:t xml:space="preserve">Getting Started: Course Orientation has the Office/OneDrive setup guide — this step trips people up, so budget real time and reach out to Tech Hub if you hit an error</w:t>
            </w:r>
          </w:p>
        </w:tc>
      </w:tr>
    </w:tbl>
    <w:bookmarkEnd w:id="47"/>
    <w:bookmarkStart w:id="54" w:name="academic-support"/>
    <w:p>
      <w:pPr>
        <w:pStyle w:val="Heading2"/>
      </w:pPr>
      <w:r>
        <w:t xml:space="preserve">Academic Support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Details</w:t>
            </w:r>
          </w:p>
        </w:tc>
      </w:tr>
      <w:tr>
        <w:tc>
          <w:tcPr/>
          <w:p>
            <w:pPr>
              <w:pStyle w:val="Compact"/>
            </w:pPr>
            <w:hyperlink r:id="rId48">
              <w:r>
                <w:rPr>
                  <w:rStyle w:val="Hyperlink"/>
                  <w:b/>
                  <w:bCs/>
                </w:rPr>
                <w:t xml:space="preserve">Student Success Coaches</w:t>
              </w:r>
            </w:hyperlink>
          </w:p>
        </w:tc>
        <w:tc>
          <w:tcPr/>
          <w:p>
            <w:pPr>
              <w:pStyle w:val="Compact"/>
            </w:pPr>
            <w:r>
              <w:t xml:space="preserve">One-on-one coaching for study/organization skills, emotional and personal support, and connections to college resources. PUB 002 or Zoom.</w:t>
            </w:r>
          </w:p>
        </w:tc>
      </w:tr>
      <w:tr>
        <w:tc>
          <w:tcPr/>
          <w:p>
            <w:pPr>
              <w:pStyle w:val="Compact"/>
            </w:pPr>
            <w:hyperlink r:id="rId49">
              <w:r>
                <w:rPr>
                  <w:rStyle w:val="Hyperlink"/>
                  <w:b/>
                  <w:bCs/>
                </w:rPr>
                <w:t xml:space="preserve">Clark College Tutoring Services</w:t>
              </w:r>
            </w:hyperlink>
          </w:p>
        </w:tc>
        <w:tc>
          <w:tcPr/>
          <w:p>
            <w:pPr>
              <w:pStyle w:val="Compact"/>
            </w:pPr>
            <w:r>
              <w:t xml:space="preserve">In-person and virtual tutoring via Zoom; see the</w:t>
            </w:r>
            <w:r>
              <w:t xml:space="preserve"> </w:t>
            </w:r>
            <w:hyperlink r:id="rId50">
              <w:r>
                <w:rPr>
                  <w:rStyle w:val="Hyperlink"/>
                </w:rPr>
                <w:t xml:space="preserve">Virtual Tutoring Center</w:t>
              </w:r>
            </w:hyperlink>
            <w:r>
              <w:t xml:space="preserve"> </w:t>
            </w:r>
            <w:r>
              <w:t xml:space="preserve">Canvas course;</w:t>
            </w:r>
            <w:r>
              <w:t xml:space="preserve"> </w:t>
            </w:r>
            <w:hyperlink r:id="rId51">
              <w:r>
                <w:rPr>
                  <w:rStyle w:val="Hyperlink"/>
                </w:rPr>
                <w:t xml:space="preserve">eTutoringOnline.org</w:t>
              </w:r>
            </w:hyperlink>
            <w:r>
              <w:t xml:space="preserve"> </w:t>
            </w:r>
            <w:r>
              <w:t xml:space="preserve">for additional online writing lab support.</w:t>
            </w:r>
          </w:p>
        </w:tc>
      </w:tr>
      <w:tr>
        <w:tc>
          <w:tcPr/>
          <w:p>
            <w:pPr>
              <w:pStyle w:val="Compact"/>
            </w:pPr>
            <w:hyperlink r:id="rId52">
              <w:r>
                <w:rPr>
                  <w:rStyle w:val="Hyperlink"/>
                  <w:b/>
                  <w:bCs/>
                </w:rPr>
                <w:t xml:space="preserve">Clark College Librarians</w:t>
              </w:r>
            </w:hyperlink>
          </w:p>
        </w:tc>
        <w:tc>
          <w:tcPr/>
          <w:p>
            <w:pPr>
              <w:pStyle w:val="Compact"/>
            </w:pPr>
            <w:r>
              <w:t xml:space="preserve">One-on-one help with research projects and source citations, in person or by</w:t>
            </w:r>
            <w:r>
              <w:t xml:space="preserve"> </w:t>
            </w:r>
            <w:hyperlink r:id="rId53">
              <w:r>
                <w:rPr>
                  <w:rStyle w:val="Hyperlink"/>
                </w:rPr>
                <w:t xml:space="preserve">chat</w:t>
              </w:r>
            </w:hyperlink>
            <w:r>
              <w:t xml:space="preserve">.</w:t>
            </w:r>
          </w:p>
        </w:tc>
      </w:tr>
    </w:tbl>
    <w:bookmarkEnd w:id="54"/>
    <w:bookmarkStart w:id="72" w:name="student-support"/>
    <w:p>
      <w:pPr>
        <w:pStyle w:val="Heading2"/>
      </w:pPr>
      <w:r>
        <w:t xml:space="preserve">Student Support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Details</w:t>
            </w:r>
          </w:p>
        </w:tc>
      </w:tr>
      <w:tr>
        <w:tc>
          <w:tcPr/>
          <w:p>
            <w:pPr>
              <w:pStyle w:val="Compact"/>
            </w:pPr>
            <w:hyperlink r:id="rId55">
              <w:r>
                <w:rPr>
                  <w:rStyle w:val="Hyperlink"/>
                  <w:b/>
                  <w:bCs/>
                </w:rPr>
                <w:t xml:space="preserve">Counseling and Health Center</w:t>
              </w:r>
            </w:hyperlink>
          </w:p>
        </w:tc>
        <w:tc>
          <w:tcPr/>
          <w:p>
            <w:pPr>
              <w:pStyle w:val="Compact"/>
            </w:pPr>
            <w:r>
              <w:t xml:space="preserve">Physical and mental health services to support student wellness and academic success.</w:t>
            </w:r>
          </w:p>
        </w:tc>
      </w:tr>
      <w:tr>
        <w:tc>
          <w:tcPr/>
          <w:p>
            <w:pPr>
              <w:pStyle w:val="Compact"/>
            </w:pPr>
            <w:hyperlink r:id="rId56">
              <w:r>
                <w:rPr>
                  <w:rStyle w:val="Hyperlink"/>
                  <w:b/>
                  <w:bCs/>
                </w:rPr>
                <w:t xml:space="preserve">Office of People and Culture (OPC)</w:t>
              </w:r>
            </w:hyperlink>
          </w:p>
        </w:tc>
        <w:tc>
          <w:tcPr/>
          <w:p>
            <w:pPr>
              <w:pStyle w:val="Compact"/>
            </w:pPr>
            <w:r>
              <w:t xml:space="preserve">Supports systemically non-dominant groups navigating Clark College; the</w:t>
            </w:r>
            <w:r>
              <w:t xml:space="preserve"> </w:t>
            </w:r>
            <w:hyperlink r:id="rId57">
              <w:r>
                <w:rPr>
                  <w:rStyle w:val="Hyperlink"/>
                </w:rPr>
                <w:t xml:space="preserve">Diversity Center</w:t>
              </w:r>
            </w:hyperlink>
            <w:r>
              <w:t xml:space="preserve"> </w:t>
            </w:r>
            <w:r>
              <w:t xml:space="preserve">is a great place to visit between classes.</w:t>
            </w:r>
          </w:p>
        </w:tc>
      </w:tr>
      <w:tr>
        <w:tc>
          <w:tcPr/>
          <w:p>
            <w:pPr>
              <w:pStyle w:val="Compact"/>
            </w:pPr>
            <w:hyperlink r:id="rId58">
              <w:r>
                <w:rPr>
                  <w:rStyle w:val="Hyperlink"/>
                  <w:b/>
                  <w:bCs/>
                </w:rPr>
                <w:t xml:space="preserve">Penguin Pantry</w:t>
              </w:r>
            </w:hyperlink>
          </w:p>
        </w:tc>
        <w:tc>
          <w:tcPr/>
          <w:p>
            <w:pPr>
              <w:pStyle w:val="Compact"/>
            </w:pPr>
            <w:r>
              <w:t xml:space="preserve">Monthly pre-packaged food boxes. Contact Cath Busha, Dean of Student Engagement (</w:t>
            </w:r>
            <w:hyperlink r:id="rId59">
              <w:r>
                <w:rPr>
                  <w:rStyle w:val="Hyperlink"/>
                </w:rPr>
                <w:t xml:space="preserve">cbusha@clark.edu</w:t>
              </w:r>
            </w:hyperlink>
            <w:r>
              <w:t xml:space="preserve">).</w:t>
            </w:r>
          </w:p>
        </w:tc>
      </w:tr>
      <w:tr>
        <w:tc>
          <w:tcPr/>
          <w:p>
            <w:pPr>
              <w:pStyle w:val="Compact"/>
            </w:pPr>
            <w:hyperlink r:id="rId60">
              <w:r>
                <w:rPr>
                  <w:rStyle w:val="Hyperlink"/>
                  <w:b/>
                  <w:bCs/>
                </w:rPr>
                <w:t xml:space="preserve">Basic Needs Hub</w:t>
              </w:r>
            </w:hyperlink>
          </w:p>
        </w:tc>
        <w:tc>
          <w:tcPr/>
          <w:p>
            <w:pPr>
              <w:pStyle w:val="Compact"/>
            </w:pPr>
            <w:r>
              <w:t xml:space="preserve">Help with food, housing, and financial challenges —</w:t>
            </w:r>
            <w:r>
              <w:t xml:space="preserve"> </w:t>
            </w:r>
            <w:hyperlink r:id="rId61">
              <w:r>
                <w:rPr>
                  <w:rStyle w:val="Hyperlink"/>
                </w:rPr>
                <w:t xml:space="preserve">intake form</w:t>
              </w:r>
            </w:hyperlink>
            <w:r>
              <w:t xml:space="preserve">. basicneeds@clark.edu · 360-992-2766 · Gaiser Hall (GHL) 216.</w:t>
            </w:r>
          </w:p>
        </w:tc>
      </w:tr>
      <w:tr>
        <w:tc>
          <w:tcPr/>
          <w:p>
            <w:pPr>
              <w:pStyle w:val="Compact"/>
            </w:pPr>
            <w:hyperlink r:id="rId62">
              <w:r>
                <w:rPr>
                  <w:rStyle w:val="Hyperlink"/>
                  <w:b/>
                  <w:bCs/>
                </w:rPr>
                <w:t xml:space="preserve">Advising Services</w:t>
              </w:r>
            </w:hyperlink>
          </w:p>
        </w:tc>
        <w:tc>
          <w:tcPr/>
          <w:p>
            <w:pPr>
              <w:pStyle w:val="Compact"/>
            </w:pPr>
            <w:r>
              <w:t xml:space="preserve">Co-create academic plans aligned with your career and personal goals —</w:t>
            </w:r>
            <w:r>
              <w:t xml:space="preserve"> </w:t>
            </w:r>
            <w:hyperlink r:id="rId63">
              <w:r>
                <w:rPr>
                  <w:rStyle w:val="Hyperlink"/>
                </w:rPr>
                <w:t xml:space="preserve">schedule an appointment</w:t>
              </w:r>
            </w:hyperlink>
            <w:r>
              <w:t xml:space="preserve">.</w:t>
            </w:r>
          </w:p>
        </w:tc>
      </w:tr>
      <w:tr>
        <w:tc>
          <w:tcPr/>
          <w:p>
            <w:pPr>
              <w:pStyle w:val="Compact"/>
            </w:pPr>
            <w:hyperlink r:id="rId64">
              <w:r>
                <w:rPr>
                  <w:rStyle w:val="Hyperlink"/>
                  <w:b/>
                  <w:bCs/>
                </w:rPr>
                <w:t xml:space="preserve">Career Services</w:t>
              </w:r>
            </w:hyperlink>
          </w:p>
        </w:tc>
        <w:tc>
          <w:tcPr/>
          <w:p>
            <w:pPr>
              <w:pStyle w:val="Compact"/>
            </w:pPr>
            <w:r>
              <w:t xml:space="preserve">Resources and strategies for career and employment goals. 360-992-2902 ·</w:t>
            </w:r>
            <w:r>
              <w:t xml:space="preserve"> </w:t>
            </w:r>
            <w:hyperlink r:id="rId65">
              <w:r>
                <w:rPr>
                  <w:rStyle w:val="Hyperlink"/>
                </w:rPr>
                <w:t xml:space="preserve">careerservices@clark.edu</w:t>
              </w:r>
            </w:hyperlink>
          </w:p>
        </w:tc>
      </w:tr>
      <w:tr>
        <w:tc>
          <w:tcPr/>
          <w:p>
            <w:pPr>
              <w:pStyle w:val="Compact"/>
            </w:pPr>
            <w:hyperlink r:id="rId66">
              <w:r>
                <w:rPr>
                  <w:rStyle w:val="Hyperlink"/>
                  <w:b/>
                  <w:bCs/>
                </w:rPr>
                <w:t xml:space="preserve">Veterans Center of Excellence</w:t>
              </w:r>
            </w:hyperlink>
          </w:p>
        </w:tc>
        <w:tc>
          <w:tcPr/>
          <w:p>
            <w:pPr>
              <w:pStyle w:val="Compact"/>
            </w:pPr>
            <w:r>
              <w:t xml:space="preserve">Resources, community, and support for U.S. military service members.</w:t>
            </w:r>
            <w:r>
              <w:t xml:space="preserve"> </w:t>
            </w:r>
            <w:hyperlink r:id="rId67">
              <w:r>
                <w:rPr>
                  <w:rStyle w:val="Hyperlink"/>
                </w:rPr>
                <w:t xml:space="preserve">PUB 015</w:t>
              </w:r>
            </w:hyperlink>
            <w:r>
              <w:t xml:space="preserve"> </w:t>
            </w:r>
            <w:r>
              <w:t xml:space="preserve">· 360-992-2073 ·</w:t>
            </w:r>
            <w:r>
              <w:t xml:space="preserve"> </w:t>
            </w:r>
            <w:hyperlink r:id="rId68">
              <w:r>
                <w:rPr>
                  <w:rStyle w:val="Hyperlink"/>
                </w:rPr>
                <w:t xml:space="preserve">Vetresources@clark.edu</w:t>
              </w:r>
            </w:hyperlink>
          </w:p>
        </w:tc>
      </w:tr>
    </w:tbl>
    <w:p>
      <w:pPr>
        <w:pStyle w:val="BodyText"/>
      </w:pPr>
      <w:r>
        <w:t xml:space="preserve">You can find all these resources as well as links to the</w:t>
      </w:r>
      <w:r>
        <w:t xml:space="preserve"> </w:t>
      </w:r>
      <w:hyperlink r:id="rId26">
        <w:r>
          <w:rPr>
            <w:rStyle w:val="Hyperlink"/>
          </w:rPr>
          <w:t xml:space="preserve">Clark bookstore</w:t>
        </w:r>
      </w:hyperlink>
      <w:r>
        <w:t xml:space="preserve">,</w:t>
      </w:r>
      <w:r>
        <w:t xml:space="preserve"> </w:t>
      </w:r>
      <w:hyperlink r:id="rId69">
        <w:r>
          <w:rPr>
            <w:rStyle w:val="Hyperlink"/>
          </w:rPr>
          <w:t xml:space="preserve">C-Tran</w:t>
        </w:r>
      </w:hyperlink>
      <w:r>
        <w:t xml:space="preserve">,</w:t>
      </w:r>
      <w:r>
        <w:t xml:space="preserve"> </w:t>
      </w:r>
      <w:hyperlink r:id="rId70">
        <w:r>
          <w:rPr>
            <w:rStyle w:val="Hyperlink"/>
          </w:rPr>
          <w:t xml:space="preserve">campus maps</w:t>
        </w:r>
      </w:hyperlink>
      <w:r>
        <w:t xml:space="preserve">, and campus life and activities at the</w:t>
      </w:r>
      <w:r>
        <w:t xml:space="preserve"> </w:t>
      </w:r>
      <w:hyperlink r:id="rId71">
        <w:r>
          <w:rPr>
            <w:rStyle w:val="Hyperlink"/>
          </w:rPr>
          <w:t xml:space="preserve">Clark Students website</w:t>
        </w:r>
      </w:hyperlink>
      <w:r>
        <w:t xml:space="preserve">.</w:t>
      </w:r>
    </w:p>
    <w:bookmarkEnd w:id="72"/>
    <w:bookmarkEnd w:id="73"/>
    <w:bookmarkStart w:id="74" w:name="how-should-i-get-started-in-class"/>
    <w:p>
      <w:pPr>
        <w:pStyle w:val="Heading1"/>
      </w:pPr>
      <w:r>
        <w:t xml:space="preserve">How Should I Get Started in Class?</w:t>
      </w:r>
    </w:p>
    <w:p>
      <w:pPr>
        <w:pStyle w:val="FirstParagraph"/>
      </w:pPr>
      <w:r>
        <w:t xml:space="preserve">See Your First Week, near the top of this syllabus, for the exact five things to do before anything else.</w:t>
      </w:r>
    </w:p>
    <w:bookmarkEnd w:id="74"/>
    <w:bookmarkStart w:id="76" w:name="appendix-official-college-policies"/>
    <w:p>
      <w:pPr>
        <w:pStyle w:val="Heading1"/>
      </w:pPr>
      <w:r>
        <w:t xml:space="preserve">Appendix: Official College Policies</w:t>
      </w:r>
    </w:p>
    <w:p>
      <w:pPr>
        <w:pStyle w:val="FirstParagraph"/>
      </w:pPr>
      <w:r>
        <w:rPr>
          <w:i/>
          <w:iCs/>
        </w:rPr>
        <w:t xml:space="preserve">TL;DR: The full text of Clark’s required policy language lives in one centrally-maintained Canvas course, so it can’t drift out of date here. Quick summaries below; contact me if any of these apply to you.</w:t>
      </w:r>
    </w:p>
    <w:p>
      <w:pPr>
        <w:pStyle w:val="Compact"/>
        <w:numPr>
          <w:ilvl w:val="0"/>
          <w:numId w:val="1013"/>
        </w:numPr>
      </w:pPr>
      <w:r>
        <w:rPr>
          <w:b/>
          <w:bCs/>
        </w:rPr>
        <w:t xml:space="preserve">ADA Accommodations</w:t>
      </w:r>
      <w:r>
        <w:t xml:space="preserve"> </w:t>
      </w:r>
      <w:r>
        <w:t xml:space="preserve">— If a disability or temporary health condition affects your coursework, the</w:t>
      </w:r>
      <w:r>
        <w:t xml:space="preserve"> </w:t>
      </w:r>
      <w:hyperlink r:id="rId18">
        <w:r>
          <w:rPr>
            <w:rStyle w:val="Hyperlink"/>
          </w:rPr>
          <w:t xml:space="preserve">Disability Access Center</w:t>
        </w:r>
      </w:hyperlink>
      <w:r>
        <w:t xml:space="preserve"> </w:t>
      </w:r>
      <w:r>
        <w:t xml:space="preserve">can set up accommodations — contact them as early as you can, then let me know within 24 hours so we can plan for this course.</w:t>
      </w:r>
    </w:p>
    <w:p>
      <w:pPr>
        <w:pStyle w:val="Compact"/>
        <w:numPr>
          <w:ilvl w:val="0"/>
          <w:numId w:val="1013"/>
        </w:numPr>
      </w:pPr>
      <w:r>
        <w:rPr>
          <w:b/>
          <w:bCs/>
        </w:rPr>
        <w:t xml:space="preserve">Non-discrimination Policy</w:t>
      </w:r>
      <w:r>
        <w:t xml:space="preserve"> </w:t>
      </w:r>
      <w:r>
        <w:t xml:space="preserve">— Clark prohibits discrimination and harassment against any member of the college community; there’s a formal grievance process through Human Resources if you experience it.</w:t>
      </w:r>
    </w:p>
    <w:p>
      <w:pPr>
        <w:pStyle w:val="Compact"/>
        <w:numPr>
          <w:ilvl w:val="0"/>
          <w:numId w:val="1013"/>
        </w:numPr>
      </w:pPr>
      <w:r>
        <w:rPr>
          <w:b/>
          <w:bCs/>
        </w:rPr>
        <w:t xml:space="preserve">Title IX and Sexual Misconduct</w:t>
      </w:r>
      <w:r>
        <w:t xml:space="preserve"> </w:t>
      </w:r>
      <w:r>
        <w:t xml:space="preserve">— If you or someone you know has experienced sexual misconduct, you’re not alone — support, reporting options, and campus resources are available.</w:t>
      </w:r>
    </w:p>
    <w:p>
      <w:pPr>
        <w:pStyle w:val="Compact"/>
        <w:numPr>
          <w:ilvl w:val="0"/>
          <w:numId w:val="1013"/>
        </w:numPr>
      </w:pPr>
      <w:r>
        <w:rPr>
          <w:b/>
          <w:bCs/>
        </w:rPr>
        <w:t xml:space="preserve">Student Rights and Responsibilities</w:t>
      </w:r>
      <w:r>
        <w:t xml:space="preserve"> </w:t>
      </w:r>
      <w:r>
        <w:t xml:space="preserve">— Covers FERPA, absences for reasons of faith or conscience, and your general rights as a student.</w:t>
      </w:r>
    </w:p>
    <w:p>
      <w:pPr>
        <w:pStyle w:val="FirstParagraph"/>
      </w:pPr>
      <w:r>
        <w:t xml:space="preserve">Full policy text for all of the above:</w:t>
      </w:r>
      <w:r>
        <w:t xml:space="preserve"> </w:t>
      </w:r>
      <w:hyperlink r:id="rId75">
        <w:r>
          <w:rPr>
            <w:rStyle w:val="Hyperlink"/>
          </w:rPr>
          <w:t xml:space="preserve">Clark College Policies Canvas course</w:t>
        </w:r>
      </w:hyperlink>
      <w:r>
        <w:t xml:space="preserve">.</w:t>
      </w:r>
    </w:p>
    <w:bookmarkEnd w:id="7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4" Target="https://catalog.clark.edu/course-descriptions/" TargetMode="External" /><Relationship Type="http://schemas.openxmlformats.org/officeDocument/2006/relationships/hyperlink" Id="rId29" Target="https://clark.libguides.com/c.php?g=1005438&amp;p=7291798" TargetMode="External" /><Relationship Type="http://schemas.openxmlformats.org/officeDocument/2006/relationships/hyperlink" Id="rId13" Target="https://clarkcollege.instructure.com" TargetMode="External" /><Relationship Type="http://schemas.openxmlformats.org/officeDocument/2006/relationships/hyperlink" Id="rId50" Target="https://clarkcollege.instructure.com/courses/2008261" TargetMode="External" /><Relationship Type="http://schemas.openxmlformats.org/officeDocument/2006/relationships/hyperlink" Id="rId75" Target="https://clarkcollege.instructure.com/courses/2696810" TargetMode="External" /><Relationship Type="http://schemas.openxmlformats.org/officeDocument/2006/relationships/hyperlink" Id="rId45" Target="https://community.canvaslms.com/t5/Canvas-Student/ct-p/canvas_student" TargetMode="External" /><Relationship Type="http://schemas.openxmlformats.org/officeDocument/2006/relationships/hyperlink" Id="rId46" Target="https://community.canvaslms.com/t5/Student-Guide/tkb-p/student" TargetMode="External" /><Relationship Type="http://schemas.openxmlformats.org/officeDocument/2006/relationships/hyperlink" Id="rId51" Target="https://etutoringonline.org/" TargetMode="External" /><Relationship Type="http://schemas.openxmlformats.org/officeDocument/2006/relationships/hyperlink" Id="rId61" Target="https://forms.office.com/r/QYMvHDdhxF" TargetMode="External" /><Relationship Type="http://schemas.openxmlformats.org/officeDocument/2006/relationships/hyperlink" Id="rId52" Target="https://library.clark.edu/" TargetMode="External" /><Relationship Type="http://schemas.openxmlformats.org/officeDocument/2006/relationships/hyperlink" Id="rId53" Target="https://library.clark.edu/content/ask-librarian" TargetMode="External" /><Relationship Type="http://schemas.openxmlformats.org/officeDocument/2006/relationships/hyperlink" Id="rId69" Target="https://www.c-tran.com/" TargetMode="External" /><Relationship Type="http://schemas.openxmlformats.org/officeDocument/2006/relationships/hyperlink" Id="rId70" Target="https://www.clark.edu/about/visitors-guide/getting-to-clark/index.php" TargetMode="External" /><Relationship Type="http://schemas.openxmlformats.org/officeDocument/2006/relationships/hyperlink" Id="rId67" Target="https://www.clark.edu/about/visitors-guide/getting-to-clark/maps/floor_plans/Gaiser-PUB_map.pdf" TargetMode="External" /><Relationship Type="http://schemas.openxmlformats.org/officeDocument/2006/relationships/hyperlink" Id="rId25" Target="https://www.clark.edu/academics/eLearning/policies-standards/accessibility-statements.php" TargetMode="External" /><Relationship Type="http://schemas.openxmlformats.org/officeDocument/2006/relationships/hyperlink" Id="rId43" Target="https://www.clark.edu/advisory/ba/campus-map.pdf" TargetMode="External" /><Relationship Type="http://schemas.openxmlformats.org/officeDocument/2006/relationships/hyperlink" Id="rId60" Target="https://www.clark.edu/campus-life/student-support/basic-needs/" TargetMode="External" /><Relationship Type="http://schemas.openxmlformats.org/officeDocument/2006/relationships/hyperlink" Id="rId55" Target="https://www.clark.edu/campus-life/student-support/counseling/index.php" TargetMode="External" /><Relationship Type="http://schemas.openxmlformats.org/officeDocument/2006/relationships/hyperlink" Id="rId18" Target="https://www.clark.edu/campus-life/student-support/disability_support/access_procedure.php" TargetMode="External" /><Relationship Type="http://schemas.openxmlformats.org/officeDocument/2006/relationships/hyperlink" Id="rId57" Target="https://www.clark.edu/campus-life/student-support/diversity-and-equity/diversity_center.php" TargetMode="External" /><Relationship Type="http://schemas.openxmlformats.org/officeDocument/2006/relationships/hyperlink" Id="rId56" Target="https://www.clark.edu/campus-life/student-support/diversity-and-equity/index.php" TargetMode="External" /><Relationship Type="http://schemas.openxmlformats.org/officeDocument/2006/relationships/hyperlink" Id="rId58" Target="https://www.clark.edu/campus-life/student-support/penguinpantry/index.php" TargetMode="External" /><Relationship Type="http://schemas.openxmlformats.org/officeDocument/2006/relationships/hyperlink" Id="rId48" Target="https://www.clark.edu/campus-life/student-support/success-coaches/" TargetMode="External" /><Relationship Type="http://schemas.openxmlformats.org/officeDocument/2006/relationships/hyperlink" Id="rId49" Target="https://www.clark.edu/campus-life/student-support/tutoring/index.php" TargetMode="External" /><Relationship Type="http://schemas.openxmlformats.org/officeDocument/2006/relationships/hyperlink" Id="rId66" Target="https://www.clark.edu/campus-life/student-support/vrc/index.php" TargetMode="External" /><Relationship Type="http://schemas.openxmlformats.org/officeDocument/2006/relationships/hyperlink" Id="rId71" Target="https://www.clark.edu/current/index.php" TargetMode="External" /><Relationship Type="http://schemas.openxmlformats.org/officeDocument/2006/relationships/hyperlink" Id="rId62" Target="https://www.clark.edu/enroll/advising-services/" TargetMode="External" /><Relationship Type="http://schemas.openxmlformats.org/officeDocument/2006/relationships/hyperlink" Id="rId63" Target="https://www.clark.edu/enroll/advising-services/schedule.php" TargetMode="External" /><Relationship Type="http://schemas.openxmlformats.org/officeDocument/2006/relationships/hyperlink" Id="rId64" Target="https://www.clark.edu/enroll/careers/index.php" TargetMode="External" /><Relationship Type="http://schemas.openxmlformats.org/officeDocument/2006/relationships/hyperlink" Id="rId42" Target="https://www.clark.edu/its/documentation-and-resources/students/techhub/index.php" TargetMode="External" /><Relationship Type="http://schemas.openxmlformats.org/officeDocument/2006/relationships/hyperlink" Id="rId26" Target="https://www.clarkbookstore.com/textbook_express.asp?mode=2&amp;step=2" TargetMode="External" /><Relationship Type="http://schemas.openxmlformats.org/officeDocument/2006/relationships/hyperlink" Id="rId68" Target="mailto:Vetresources@clark.edu" TargetMode="External" /><Relationship Type="http://schemas.openxmlformats.org/officeDocument/2006/relationships/hyperlink" Id="rId65" Target="mailto:careerservices@clark.edu" TargetMode="External" /><Relationship Type="http://schemas.openxmlformats.org/officeDocument/2006/relationships/hyperlink" Id="rId59" Target="mailto:cbusha@clark.edu" TargetMode="External" /><Relationship Type="http://schemas.openxmlformats.org/officeDocument/2006/relationships/hyperlink" Id="rId44" Target="mailto:techhub@clark.edu" TargetMode="External" /></Relationships>
</file>

<file path=word/_rels/footnotes.xml.rels><?xml version="1.0" encoding="UTF-8"?><Relationships xmlns="http://schemas.openxmlformats.org/package/2006/relationships"><Relationship Type="http://schemas.openxmlformats.org/officeDocument/2006/relationships/hyperlink" Id="rId14" Target="https://catalog.clark.edu/course-descriptions/" TargetMode="External" /><Relationship Type="http://schemas.openxmlformats.org/officeDocument/2006/relationships/hyperlink" Id="rId29" Target="https://clark.libguides.com/c.php?g=1005438&amp;p=7291798" TargetMode="External" /><Relationship Type="http://schemas.openxmlformats.org/officeDocument/2006/relationships/hyperlink" Id="rId13" Target="https://clarkcollege.instructure.com" TargetMode="External" /><Relationship Type="http://schemas.openxmlformats.org/officeDocument/2006/relationships/hyperlink" Id="rId50" Target="https://clarkcollege.instructure.com/courses/2008261" TargetMode="External" /><Relationship Type="http://schemas.openxmlformats.org/officeDocument/2006/relationships/hyperlink" Id="rId75" Target="https://clarkcollege.instructure.com/courses/2696810" TargetMode="External" /><Relationship Type="http://schemas.openxmlformats.org/officeDocument/2006/relationships/hyperlink" Id="rId45" Target="https://community.canvaslms.com/t5/Canvas-Student/ct-p/canvas_student" TargetMode="External" /><Relationship Type="http://schemas.openxmlformats.org/officeDocument/2006/relationships/hyperlink" Id="rId46" Target="https://community.canvaslms.com/t5/Student-Guide/tkb-p/student" TargetMode="External" /><Relationship Type="http://schemas.openxmlformats.org/officeDocument/2006/relationships/hyperlink" Id="rId51" Target="https://etutoringonline.org/" TargetMode="External" /><Relationship Type="http://schemas.openxmlformats.org/officeDocument/2006/relationships/hyperlink" Id="rId61" Target="https://forms.office.com/r/QYMvHDdhxF" TargetMode="External" /><Relationship Type="http://schemas.openxmlformats.org/officeDocument/2006/relationships/hyperlink" Id="rId52" Target="https://library.clark.edu/" TargetMode="External" /><Relationship Type="http://schemas.openxmlformats.org/officeDocument/2006/relationships/hyperlink" Id="rId53" Target="https://library.clark.edu/content/ask-librarian" TargetMode="External" /><Relationship Type="http://schemas.openxmlformats.org/officeDocument/2006/relationships/hyperlink" Id="rId69" Target="https://www.c-tran.com/" TargetMode="External" /><Relationship Type="http://schemas.openxmlformats.org/officeDocument/2006/relationships/hyperlink" Id="rId70" Target="https://www.clark.edu/about/visitors-guide/getting-to-clark/index.php" TargetMode="External" /><Relationship Type="http://schemas.openxmlformats.org/officeDocument/2006/relationships/hyperlink" Id="rId67" Target="https://www.clark.edu/about/visitors-guide/getting-to-clark/maps/floor_plans/Gaiser-PUB_map.pdf" TargetMode="External" /><Relationship Type="http://schemas.openxmlformats.org/officeDocument/2006/relationships/hyperlink" Id="rId25" Target="https://www.clark.edu/academics/eLearning/policies-standards/accessibility-statements.php" TargetMode="External" /><Relationship Type="http://schemas.openxmlformats.org/officeDocument/2006/relationships/hyperlink" Id="rId43" Target="https://www.clark.edu/advisory/ba/campus-map.pdf" TargetMode="External" /><Relationship Type="http://schemas.openxmlformats.org/officeDocument/2006/relationships/hyperlink" Id="rId60" Target="https://www.clark.edu/campus-life/student-support/basic-needs/" TargetMode="External" /><Relationship Type="http://schemas.openxmlformats.org/officeDocument/2006/relationships/hyperlink" Id="rId55" Target="https://www.clark.edu/campus-life/student-support/counseling/index.php" TargetMode="External" /><Relationship Type="http://schemas.openxmlformats.org/officeDocument/2006/relationships/hyperlink" Id="rId18" Target="https://www.clark.edu/campus-life/student-support/disability_support/access_procedure.php" TargetMode="External" /><Relationship Type="http://schemas.openxmlformats.org/officeDocument/2006/relationships/hyperlink" Id="rId57" Target="https://www.clark.edu/campus-life/student-support/diversity-and-equity/diversity_center.php" TargetMode="External" /><Relationship Type="http://schemas.openxmlformats.org/officeDocument/2006/relationships/hyperlink" Id="rId56" Target="https://www.clark.edu/campus-life/student-support/diversity-and-equity/index.php" TargetMode="External" /><Relationship Type="http://schemas.openxmlformats.org/officeDocument/2006/relationships/hyperlink" Id="rId58" Target="https://www.clark.edu/campus-life/student-support/penguinpantry/index.php" TargetMode="External" /><Relationship Type="http://schemas.openxmlformats.org/officeDocument/2006/relationships/hyperlink" Id="rId48" Target="https://www.clark.edu/campus-life/student-support/success-coaches/" TargetMode="External" /><Relationship Type="http://schemas.openxmlformats.org/officeDocument/2006/relationships/hyperlink" Id="rId49" Target="https://www.clark.edu/campus-life/student-support/tutoring/index.php" TargetMode="External" /><Relationship Type="http://schemas.openxmlformats.org/officeDocument/2006/relationships/hyperlink" Id="rId66" Target="https://www.clark.edu/campus-life/student-support/vrc/index.php" TargetMode="External" /><Relationship Type="http://schemas.openxmlformats.org/officeDocument/2006/relationships/hyperlink" Id="rId71" Target="https://www.clark.edu/current/index.php" TargetMode="External" /><Relationship Type="http://schemas.openxmlformats.org/officeDocument/2006/relationships/hyperlink" Id="rId62" Target="https://www.clark.edu/enroll/advising-services/" TargetMode="External" /><Relationship Type="http://schemas.openxmlformats.org/officeDocument/2006/relationships/hyperlink" Id="rId63" Target="https://www.clark.edu/enroll/advising-services/schedule.php" TargetMode="External" /><Relationship Type="http://schemas.openxmlformats.org/officeDocument/2006/relationships/hyperlink" Id="rId64" Target="https://www.clark.edu/enroll/careers/index.php" TargetMode="External" /><Relationship Type="http://schemas.openxmlformats.org/officeDocument/2006/relationships/hyperlink" Id="rId42" Target="https://www.clark.edu/its/documentation-and-resources/students/techhub/index.php" TargetMode="External" /><Relationship Type="http://schemas.openxmlformats.org/officeDocument/2006/relationships/hyperlink" Id="rId26" Target="https://www.clarkbookstore.com/textbook_express.asp?mode=2&amp;step=2" TargetMode="External" /><Relationship Type="http://schemas.openxmlformats.org/officeDocument/2006/relationships/hyperlink" Id="rId68" Target="mailto:Vetresources@clark.edu" TargetMode="External" /><Relationship Type="http://schemas.openxmlformats.org/officeDocument/2006/relationships/hyperlink" Id="rId65" Target="mailto:careerservices@clark.edu" TargetMode="External" /><Relationship Type="http://schemas.openxmlformats.org/officeDocument/2006/relationships/hyperlink" Id="rId59" Target="mailto:cbusha@clark.edu" TargetMode="External" /><Relationship Type="http://schemas.openxmlformats.org/officeDocument/2006/relationships/hyperlink" Id="rId44" Target="mailto:techhub@clark.ed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CHEM&amp;131: Intro to Organic/Biochemistry</dc:title>
  <dc:creator/>
  <cp:keywords/>
  <dcterms:created xsi:type="dcterms:W3CDTF">2026-10-23T16:55:55Z</dcterms:created>
  <dcterms:modified xsi:type="dcterms:W3CDTF">2026-10-23T16:55:55Z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urseKey">
    <vt:lpwstr>chem131</vt:lpwstr>
  </property>
  <property fmtid="{D5CDD505-2E9C-101B-9397-08002B2CF9AE}" pid="3" name="fullTitle">
    <vt:lpwstr>CHEM&amp;131: Introduction to Organic and Biochemistry</vt:lpwstr>
  </property>
  <property fmtid="{D5CDD505-2E9C-101B-9397-08002B2CF9AE}" pid="4" name="instructor">
    <vt:lpwstr>Dr. Karl Bailey (Dr. B)</vt:lpwstr>
  </property>
  <property fmtid="{D5CDD505-2E9C-101B-9397-08002B2CF9AE}" pid="5" name="tabLabel">
    <vt:lpwstr>CHEM&amp;131</vt:lpwstr>
  </property>
  <property fmtid="{D5CDD505-2E9C-101B-9397-08002B2CF9AE}" pid="6" name="term">
    <vt:lpwstr>Fall 2026 (September 21 – December 10, 2026)</vt:lpwstr>
  </property>
</Properties>
</file>