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outside of lab, plus your 4-hour on-campus lab — see How to Work in This Class.</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triage question you bring to your team’s huddle in lab).</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Thursday, your second lab 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2"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OOL discussion post due</w:t>
            </w:r>
          </w:p>
        </w:tc>
      </w:tr>
      <w:tr>
        <w:tc>
          <w:tcPr/>
          <w:p>
            <w:pPr>
              <w:pStyle w:val="Compact"/>
            </w:pPr>
            <w:r>
              <w:t xml:space="preserve">Thursday (second lab day)</w:t>
            </w:r>
          </w:p>
        </w:tc>
        <w:tc>
          <w:tcPr/>
          <w:p>
            <w:pPr>
              <w:pStyle w:val="Compact"/>
            </w:pPr>
            <w:r>
              <w:t xml:space="preserve">Team huddle in lab; 3-2-1 Team post due, covering both Activities</w:t>
            </w:r>
          </w:p>
        </w:tc>
      </w:tr>
      <w:tr>
        <w:tc>
          <w:tcPr/>
          <w:p>
            <w:pPr>
              <w:pStyle w:val="Compact"/>
            </w:pPr>
            <w:r>
              <w:t xml:space="preserve">Friday</w:t>
            </w:r>
          </w:p>
        </w:tc>
        <w:tc>
          <w:tcPr/>
          <w:p>
            <w:pPr>
              <w:pStyle w:val="Compact"/>
            </w:pPr>
            <w:r>
              <w:t xml:space="preserve">TEAM LEAD POST due (Team Lead only, that week); OOL replies due; Lab Results (20 pts), Findings (10 pts), and Conclusions (20 pts) due</w:t>
            </w:r>
          </w:p>
        </w:tc>
      </w:tr>
      <w:tr>
        <w:tc>
          <w:tcPr/>
          <w:p>
            <w:pPr>
              <w:pStyle w:val="Compact"/>
            </w:pPr>
            <w:r>
              <w:t xml:space="preserve">Sunday</w:t>
            </w:r>
          </w:p>
        </w:tc>
        <w:tc>
          <w:tcPr/>
          <w:p>
            <w:pPr>
              <w:pStyle w:val="Compact"/>
            </w:pPr>
            <w:r>
              <w:t xml:space="preserve">3-2-1 replies to two teammates’ ONE questions + both Activity PDF uploads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Start w:id="21" w:name="how-to-work-in-this-class"/>
    <w:p>
      <w:pPr>
        <w:pStyle w:val="Heading2"/>
      </w:pPr>
      <w:r>
        <w:t xml:space="preserve">How to Work in This Class</w:t>
      </w:r>
    </w:p>
    <w:p>
      <w:pPr>
        <w:pStyle w:val="FirstParagraph"/>
      </w:pPr>
      <w:r>
        <w:rPr>
          <w:i/>
          <w:iC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rPr>
        <w:t xml:space="preserve">Same course, your schedule.</w:t>
      </w:r>
      <w:r>
        <w:t xml:space="preserve"> </w:t>
      </w:r>
      <w: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rPr>
        <w:t xml:space="preserve">How to work an Activity</w:t>
      </w:r>
    </w:p>
    <w:p>
      <w:pPr>
        <w:pStyle w:val="Compact"/>
        <w:numPr>
          <w:ilvl w:val="0"/>
          <w:numId w:val="1002"/>
        </w:numPr>
      </w:pPr>
      <w:r>
        <w:t xml:space="preserve">Read the assigned Smith section.</w:t>
      </w:r>
    </w:p>
    <w:p>
      <w:pPr>
        <w:pStyle w:val="Compact"/>
        <w:numPr>
          <w:ilvl w:val="0"/>
          <w:numId w:val="1002"/>
        </w:numPr>
      </w:pPr>
      <w:r>
        <w:t xml:space="preserve">Work the Activity in your Chemfolio on your own. Don’t start the video yet.</w:t>
      </w:r>
    </w:p>
    <w:p>
      <w:pPr>
        <w:pStyle w:val="Compact"/>
        <w:numPr>
          <w:ilvl w:val="0"/>
          <w:numId w:val="1002"/>
        </w:numPr>
      </w:pPr>
      <w:r>
        <w:t xml:space="preserve">Mark where you got stuck. That’s your THREE.</w:t>
      </w:r>
    </w:p>
    <w:p>
      <w:pPr>
        <w:pStyle w:val="Compact"/>
        <w:numPr>
          <w:ilvl w:val="0"/>
          <w:numId w:val="1002"/>
        </w:numPr>
      </w:pPr>
      <w:r>
        <w:t xml:space="preserve">Watch the Video Key to check and correct your work, and note in your Chemfolio what changed.</w:t>
      </w:r>
    </w:p>
    <w:p>
      <w:pPr>
        <w:pStyle w:val="Compact"/>
        <w:numPr>
          <w:ilvl w:val="0"/>
          <w:numId w:val="1002"/>
        </w:numPr>
      </w:pPr>
      <w:r>
        <w:t xml:space="preserve">Bring what’s still unclear to your team’s huddle. That’s your ONE.</w:t>
      </w:r>
    </w:p>
    <w:p>
      <w:pPr>
        <w:pStyle w:val="FirstParagraph"/>
      </w:pPr>
      <w:r>
        <w:rPr>
          <w:b/>
          <w:bCs/>
        </w:rPr>
        <w:t xml:space="preserve">Why this order matters.</w:t>
      </w:r>
      <w:r>
        <w:t xml:space="preserve"> </w:t>
      </w:r>
      <w: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rPr>
        <w:t xml:space="preserve">How much time.</w:t>
      </w:r>
      <w:r>
        <w:t xml:space="preserve"> </w:t>
      </w:r>
      <w:r>
        <w:t xml:space="preserve">Plan on 10–12 hours a week outside of lab. Check in with me if either of these happens:</w:t>
      </w:r>
    </w:p>
    <w:p>
      <w:pPr>
        <w:pStyle w:val="Compact"/>
        <w:numPr>
          <w:ilvl w:val="0"/>
          <w:numId w:val="1003"/>
        </w:numPr>
      </w:pPr>
      <w:r>
        <w:t xml:space="preserve">You’re regularly spending more than 12 hours a week.</w:t>
      </w:r>
    </w:p>
    <w:p>
      <w:pPr>
        <w:pStyle w:val="Compact"/>
        <w:numPr>
          <w:ilvl w:val="0"/>
          <w:numId w:val="1003"/>
        </w:numPr>
      </w:pPr>
      <w:r>
        <w:t xml:space="preserve">You’re putting in 10–12 hours and doing all the work, but your quiz scores are low.</w:t>
      </w:r>
    </w:p>
    <w:p>
      <w:pPr>
        <w:pStyle w:val="FirstParagraph"/>
      </w:pPr>
      <w:r>
        <w:t xml:space="preserve">Either one means something about how you’re working needs adjusting, and that’s what Help Hours are for.</w:t>
      </w:r>
    </w:p>
    <w:p>
      <w:pPr>
        <w:pStyle w:val="BlockText"/>
      </w:pPr>
      <w:r>
        <w:rPr>
          <w:b/>
          <w:bCs/>
        </w:rPr>
        <w:t xml:space="preserve">Dr. B’s Note:</w:t>
      </w:r>
      <w:r>
        <w:t xml:space="preserve"> </w:t>
      </w:r>
      <w:r>
        <w:rPr>
          <w:i/>
          <w:iC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3"/>
    <w:bookmarkEnd w:id="24"/>
    <w:bookmarkStart w:id="27"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6">
              <w:r>
                <w:rPr>
                  <w:rStyle w:val="Hyperlink"/>
                </w:rPr>
                <w:t xml:space="preserve">Clark College Bookstore</w:t>
              </w:r>
            </w:hyperlink>
            <w:r>
              <w:t xml:space="preserve">.</w:t>
            </w:r>
            <w:r>
              <w:t xml:space="preserve">ALEKS: access is set up automatically in Canvas once your registration is processed.</w:t>
            </w:r>
          </w:p>
        </w:tc>
      </w:tr>
    </w:tbl>
    <w:bookmarkEnd w:id="27"/>
    <w:bookmarkStart w:id="33"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4"/>
        </w:numPr>
      </w:pPr>
      <w:r>
        <w:rPr>
          <w:b/>
          <w:bCs/>
        </w:rPr>
        <w:t xml:space="preserve">Document ALL your work offline in Microsoft Word in your OneDrive (see Canvas).</w:t>
      </w:r>
    </w:p>
    <w:p>
      <w:pPr>
        <w:pStyle w:val="Compact"/>
        <w:numPr>
          <w:ilvl w:val="0"/>
          <w:numId w:val="1004"/>
        </w:numPr>
      </w:pPr>
      <w:r>
        <w:rPr>
          <w:b/>
          <w:bCs/>
        </w:rPr>
        <w:t xml:space="preserve">Appropriate use of AI for any assignment in this class:</w:t>
      </w:r>
    </w:p>
    <w:p>
      <w:pPr>
        <w:pStyle w:val="Compact"/>
        <w:numPr>
          <w:ilvl w:val="1"/>
          <w:numId w:val="1005"/>
        </w:numPr>
      </w:pPr>
      <w:r>
        <w:t xml:space="preserve">You are free to use spell check, grammar check, and synonym identification tools in applications (e.g., those in Microsoft Word, Google Docs, Pages, or Canvas).</w:t>
      </w:r>
    </w:p>
    <w:p>
      <w:pPr>
        <w:pStyle w:val="Compact"/>
        <w:numPr>
          <w:ilvl w:val="1"/>
          <w:numId w:val="1005"/>
        </w:numPr>
      </w:pPr>
      <w:r>
        <w:t xml:space="preserve">You are free to use in-app recommendations when it comes to spelling and grammar of only sentences you have written entirely yourself first.</w:t>
      </w:r>
    </w:p>
    <w:p>
      <w:pPr>
        <w:pStyle w:val="Compact"/>
        <w:numPr>
          <w:ilvl w:val="1"/>
          <w:numId w:val="1005"/>
        </w:numPr>
      </w:pPr>
      <w:r>
        <w:t xml:space="preserve">You are free to use in-app recommendations when it comes to tweaking outlines you have written entirely yourself first.</w:t>
      </w:r>
    </w:p>
    <w:p>
      <w:pPr>
        <w:pStyle w:val="Compact"/>
        <w:numPr>
          <w:ilvl w:val="0"/>
          <w:numId w:val="1004"/>
        </w:numPr>
      </w:pPr>
      <w:r>
        <w:rPr>
          <w:b/>
          <w:bCs/>
        </w:rPr>
        <w:t xml:space="preserve">Inappropriate use of AI for any assignment in this class:</w:t>
      </w:r>
    </w:p>
    <w:p>
      <w:pPr>
        <w:pStyle w:val="Compact"/>
        <w:numPr>
          <w:ilvl w:val="1"/>
          <w:numId w:val="1006"/>
        </w:numPr>
      </w:pPr>
      <w:r>
        <w:t xml:space="preserve">You cannot have an app write a draft (either rough or final) or brainstorm any assignment.</w:t>
      </w:r>
    </w:p>
    <w:p>
      <w:pPr>
        <w:pStyle w:val="Compact"/>
        <w:numPr>
          <w:ilvl w:val="1"/>
          <w:numId w:val="1006"/>
        </w:numPr>
      </w:pPr>
      <w:r>
        <w:t xml:space="preserve">You cannot use any content generated from prompts given to you in assignments.</w:t>
      </w:r>
    </w:p>
    <w:p>
      <w:pPr>
        <w:pStyle w:val="Compact"/>
        <w:numPr>
          <w:ilvl w:val="1"/>
          <w:numId w:val="1006"/>
        </w:numPr>
      </w:pPr>
      <w:r>
        <w:t xml:space="preserve">You cannot use sentences or paragraphs suggested by an app — not even with quotation marks and a citation.</w:t>
      </w:r>
    </w:p>
    <w:p>
      <w:pPr>
        <w:pStyle w:val="Compact"/>
        <w:numPr>
          <w:ilvl w:val="1"/>
          <w:numId w:val="1006"/>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6"/>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4"/>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7"/>
        </w:numPr>
      </w:pPr>
      <w:r>
        <w:t xml:space="preserve">Be Kind, Patient, Understanding</w:t>
      </w:r>
    </w:p>
    <w:p>
      <w:pPr>
        <w:pStyle w:val="Compact"/>
        <w:numPr>
          <w:ilvl w:val="0"/>
          <w:numId w:val="1007"/>
        </w:numPr>
      </w:pPr>
      <w:r>
        <w:t xml:space="preserve">Create a brave learning space</w:t>
      </w:r>
    </w:p>
    <w:p>
      <w:pPr>
        <w:pStyle w:val="Compact"/>
        <w:numPr>
          <w:ilvl w:val="0"/>
          <w:numId w:val="1007"/>
        </w:numPr>
      </w:pPr>
      <w:r>
        <w:t xml:space="preserve">Learning can be tough, discomfort is welcome</w:t>
      </w:r>
    </w:p>
    <w:p>
      <w:pPr>
        <w:pStyle w:val="Compact"/>
        <w:numPr>
          <w:ilvl w:val="0"/>
          <w:numId w:val="1007"/>
        </w:numPr>
      </w:pPr>
      <w:r>
        <w:t xml:space="preserve">Practice graceful learning</w:t>
      </w:r>
    </w:p>
    <w:p>
      <w:pPr>
        <w:pStyle w:val="Compact"/>
        <w:numPr>
          <w:ilvl w:val="0"/>
          <w:numId w:val="1007"/>
        </w:numPr>
      </w:pPr>
      <w:r>
        <w:t xml:space="preserve">Respect each other’s perspectives</w:t>
      </w:r>
    </w:p>
    <w:p>
      <w:pPr>
        <w:pStyle w:val="Compact"/>
        <w:numPr>
          <w:ilvl w:val="0"/>
          <w:numId w:val="1007"/>
        </w:numPr>
      </w:pPr>
      <w:r>
        <w:t xml:space="preserve">Make space, take space</w:t>
      </w:r>
    </w:p>
    <w:p>
      <w:pPr>
        <w:pStyle w:val="Compact"/>
        <w:numPr>
          <w:ilvl w:val="0"/>
          <w:numId w:val="1007"/>
        </w:numPr>
      </w:pPr>
      <w:r>
        <w:t xml:space="preserve">Include others in the conversation</w:t>
      </w:r>
    </w:p>
    <w:p>
      <w:pPr>
        <w:pStyle w:val="Compact"/>
        <w:numPr>
          <w:ilvl w:val="0"/>
          <w:numId w:val="1007"/>
        </w:numPr>
      </w:pPr>
      <w:r>
        <w:t xml:space="preserve">Stay present, but take breaks when you need them</w:t>
      </w:r>
    </w:p>
    <w:p>
      <w:pPr>
        <w:pStyle w:val="Compact"/>
        <w:numPr>
          <w:ilvl w:val="0"/>
          <w:numId w:val="1007"/>
        </w:numPr>
      </w:pPr>
      <w:r>
        <w:t xml:space="preserve">Listen to understand, not speak next</w:t>
      </w:r>
    </w:p>
    <w:p>
      <w:pPr>
        <w:pStyle w:val="Compact"/>
        <w:numPr>
          <w:ilvl w:val="0"/>
          <w:numId w:val="1007"/>
        </w:numPr>
      </w:pPr>
      <w:r>
        <w:t xml:space="preserve">Stories told here stay here, knowledge leaves</w:t>
      </w:r>
    </w:p>
    <w:p>
      <w:pPr>
        <w:pStyle w:val="Compact"/>
        <w:numPr>
          <w:ilvl w:val="0"/>
          <w:numId w:val="1007"/>
        </w:numPr>
      </w:pPr>
      <w:r>
        <w:t xml:space="preserve">Accept reasonable boundaries and non-closure</w:t>
      </w:r>
    </w:p>
    <w:p>
      <w:pPr>
        <w:pStyle w:val="Compact"/>
        <w:numPr>
          <w:ilvl w:val="0"/>
          <w:numId w:val="1007"/>
        </w:numPr>
      </w:pPr>
      <w:r>
        <w:t xml:space="preserve">If someone is struggling, offer to help</w:t>
      </w:r>
    </w:p>
    <w:p>
      <w:pPr>
        <w:pStyle w:val="Compact"/>
        <w:numPr>
          <w:ilvl w:val="0"/>
          <w:numId w:val="1007"/>
        </w:numPr>
      </w:pPr>
      <w:r>
        <w:t xml:space="preserve">If you are struggling, seek help</w:t>
      </w:r>
    </w:p>
    <w:p>
      <w:pPr>
        <w:pStyle w:val="FirstParagraph"/>
      </w:pPr>
      <w:r>
        <w:t xml:space="preserve">Alongside that spirit, a few practical expectations:</w:t>
      </w:r>
    </w:p>
    <w:p>
      <w:pPr>
        <w:pStyle w:val="Compact"/>
        <w:numPr>
          <w:ilvl w:val="0"/>
          <w:numId w:val="1008"/>
        </w:numPr>
      </w:pPr>
      <w:r>
        <w:t xml:space="preserve">Complete each week’s assignments — discussions, labs, ALEKS — by the posted due date.</w:t>
      </w:r>
    </w:p>
    <w:p>
      <w:pPr>
        <w:pStyle w:val="Compact"/>
        <w:numPr>
          <w:ilvl w:val="0"/>
          <w:numId w:val="1008"/>
        </w:numPr>
      </w:pPr>
      <w:r>
        <w:t xml:space="preserve">Attend your scheduled labs (both) every week; all lab hours are required to pass the course — see the Lab Requirement section below for exactly what that means.</w:t>
      </w:r>
    </w:p>
    <w:p>
      <w:pPr>
        <w:pStyle w:val="Compact"/>
        <w:numPr>
          <w:ilvl w:val="0"/>
          <w:numId w:val="1008"/>
        </w:numPr>
      </w:pPr>
      <w:r>
        <w:t xml:space="preserve">Be a courteous member of the team and don’t get in the way of anyone else’s learning: post and reply before the due dates, not hours or minutes before.</w:t>
      </w:r>
    </w:p>
    <w:p>
      <w:pPr>
        <w:pStyle w:val="Compact"/>
        <w:numPr>
          <w:ilvl w:val="0"/>
          <w:numId w:val="1008"/>
        </w:numPr>
      </w:pPr>
      <w:r>
        <w:t xml:space="preserve">Tell me as early as you can about anything affecting your ability to take part fully.</w:t>
      </w:r>
    </w:p>
    <w:p>
      <w:pPr>
        <w:pStyle w:val="FirstParagraph"/>
      </w:pPr>
      <w:r>
        <w:rPr>
          <w:i/>
          <w:iCs/>
        </w:rPr>
        <w:t xml:space="preserve">“How you do anything is how you do everything.”</w:t>
      </w:r>
    </w:p>
    <w:bookmarkEnd w:id="32"/>
    <w:bookmarkEnd w:id="33"/>
    <w:bookmarkStart w:id="34" w:name="X762e0c562ca86535819c7c15adbe8dbe270c6b6"/>
    <w:p>
      <w:pPr>
        <w:pStyle w:val="Heading1"/>
      </w:pPr>
      <w:r>
        <w:t xml:space="preserve">What Are the Learning Goals in This Course?</w:t>
      </w:r>
    </w:p>
    <w:p>
      <w:pPr>
        <w:pStyle w:val="FirstParagraph"/>
      </w:pPr>
      <w:r>
        <w:rPr>
          <w:i/>
          <w:iCs/>
        </w:rPr>
        <w:t xml:space="preserve">TL;DR: By the end, you can apply organic and biochemistry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9"/>
        </w:numPr>
      </w:pPr>
      <w:r>
        <w:rPr>
          <w:b/>
          <w:bCs/>
        </w:rPr>
        <w:t xml:space="preserve">Critical Thinking 3</w:t>
      </w:r>
      <w:r>
        <w:t xml:space="preserve"> </w:t>
      </w:r>
      <w:r>
        <w:t xml:space="preserve">— Formulate well-reasoned arguments supported by evidence</w:t>
      </w:r>
    </w:p>
    <w:p>
      <w:pPr>
        <w:pStyle w:val="Compact"/>
        <w:numPr>
          <w:ilvl w:val="0"/>
          <w:numId w:val="1009"/>
        </w:numPr>
      </w:pPr>
      <w:r>
        <w:rPr>
          <w:b/>
          <w:bCs/>
        </w:rPr>
        <w:t xml:space="preserve">Critical Thinking 4</w:t>
      </w:r>
      <w:r>
        <w:t xml:space="preserve"> </w:t>
      </w:r>
      <w:r>
        <w:t xml:space="preserve">— Apply creative thinking skills to generate new ideas and solve problems</w:t>
      </w:r>
    </w:p>
    <w:p>
      <w:pPr>
        <w:pStyle w:val="Compact"/>
        <w:numPr>
          <w:ilvl w:val="0"/>
          <w:numId w:val="1009"/>
        </w:numPr>
      </w:pPr>
      <w:r>
        <w:rPr>
          <w:b/>
          <w:bCs/>
        </w:rPr>
        <w:t xml:space="preserve">Problem-Solving 1</w:t>
      </w:r>
      <w:r>
        <w:t xml:space="preserve"> </w:t>
      </w:r>
      <w:r>
        <w:t xml:space="preserve">— Accurately define a problem</w:t>
      </w:r>
    </w:p>
    <w:p>
      <w:pPr>
        <w:pStyle w:val="Compact"/>
        <w:numPr>
          <w:ilvl w:val="0"/>
          <w:numId w:val="1009"/>
        </w:numPr>
      </w:pPr>
      <w:r>
        <w:rPr>
          <w:b/>
          <w:bCs/>
        </w:rPr>
        <w:t xml:space="preserve">Communication 3</w:t>
      </w:r>
      <w:r>
        <w:t xml:space="preserve"> </w:t>
      </w:r>
      <w:r>
        <w:t xml:space="preserve">— Apply communication skills and concepts to real-world situations</w:t>
      </w:r>
    </w:p>
    <w:p>
      <w:pPr>
        <w:pStyle w:val="Compact"/>
        <w:numPr>
          <w:ilvl w:val="0"/>
          <w:numId w:val="1009"/>
        </w:numPr>
      </w:pPr>
      <w:r>
        <w:rPr>
          <w:b/>
          <w:bCs/>
        </w:rPr>
        <w:t xml:space="preserve">Civic &amp; Global Consciousness 1</w:t>
      </w:r>
      <w:r>
        <w:t xml:space="preserve"> </w:t>
      </w:r>
      <w:r>
        <w:t xml:space="preserve">— Explain global issues, considering various perspectives</w:t>
      </w:r>
    </w:p>
    <w:p>
      <w:pPr>
        <w:pStyle w:val="Compact"/>
        <w:numPr>
          <w:ilvl w:val="0"/>
          <w:numId w:val="1009"/>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10"/>
        </w:numPr>
      </w:pPr>
      <w:r>
        <w:rPr>
          <w:b/>
          <w:bCs/>
        </w:rPr>
        <w:t xml:space="preserve">CLO1:</w:t>
      </w:r>
      <w:r>
        <w:t xml:space="preserve"> </w:t>
      </w:r>
      <w:r>
        <w:t xml:space="preserve">Apply fundamental rules of functional group reactivity, including acidity, oxidation and isomerism, to analyze chemical processes and assess their relevance to ecosystem and metabolic health.</w:t>
      </w:r>
    </w:p>
    <w:p>
      <w:pPr>
        <w:pStyle w:val="Compact"/>
        <w:numPr>
          <w:ilvl w:val="0"/>
          <w:numId w:val="1010"/>
        </w:numPr>
      </w:pPr>
      <w:r>
        <w:rPr>
          <w:b/>
          <w:bCs/>
        </w:rPr>
        <w:t xml:space="preserve">CLO2:</w:t>
      </w:r>
      <w:r>
        <w:t xml:space="preserve"> </w:t>
      </w:r>
      <w:r>
        <w:t xml:space="preserve">Compare and contrast the intermolecular and intramolecular forces that influence the shape and function of carbohydrates, lipids, proteins, and nucleic acids, and evaluate their implications for human health and disease.</w:t>
      </w:r>
    </w:p>
    <w:p>
      <w:pPr>
        <w:pStyle w:val="Compact"/>
        <w:numPr>
          <w:ilvl w:val="0"/>
          <w:numId w:val="1010"/>
        </w:numPr>
      </w:pPr>
      <w:r>
        <w:rPr>
          <w:b/>
          <w:bCs/>
        </w:rPr>
        <w:t xml:space="preserve">CLO3:</w:t>
      </w:r>
      <w:r>
        <w:t xml:space="preserve"> </w:t>
      </w:r>
      <w:r>
        <w:t xml:space="preserve">Analyze and evaluate contextual problems related to organic and biological molecules by applying critical thinking skills to propose effective solutions that address climate and public health challenges.</w:t>
      </w:r>
    </w:p>
    <w:p>
      <w:pPr>
        <w:pStyle w:val="Compact"/>
        <w:numPr>
          <w:ilvl w:val="0"/>
          <w:numId w:val="1010"/>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4"/>
    <w:bookmarkStart w:id="41"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one post Thursday after an in-lab team huddle, two replies answering teammates’ questions, and lecture Activities completed and uploaded</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5"/>
    <w:bookmarkStart w:id="3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1"/>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1"/>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1"/>
        </w:numPr>
      </w:pPr>
      <w:r>
        <w:t xml:space="preserve">If you miss two experiments, the second missed lab is scored zero.</w:t>
      </w:r>
    </w:p>
    <w:p>
      <w:pPr>
        <w:pStyle w:val="Compact"/>
        <w:numPr>
          <w:ilvl w:val="0"/>
          <w:numId w:val="1011"/>
        </w:numPr>
      </w:pPr>
      <w:r>
        <w:t xml:space="preserve">Missing three weeks of lab, or having two incomplete labs, means you cannot pass the course.</w:t>
      </w:r>
    </w:p>
    <w:bookmarkEnd w:id="36"/>
    <w:bookmarkStart w:id="37" w:name="grading-scale"/>
    <w:p>
      <w:pPr>
        <w:pStyle w:val="Heading2"/>
      </w:pPr>
      <w:r>
        <w:t xml:space="preserve">Grading Scale</w:t>
      </w:r>
    </w:p>
    <w:p>
      <w:pPr>
        <w:pStyle w:val="FirstParagraph"/>
      </w:pPr>
      <w:r>
        <w:t xml:space="preserve">Note: Clark does not award C-, D+, or D- in this course — a C- does not transfer, so grading stops at a clean C, then D, then F. Final percentages are rounded to the nearest whole number.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100–93</w:t>
            </w:r>
          </w:p>
        </w:tc>
        <w:tc>
          <w:tcPr/>
          <w:p>
            <w:pPr>
              <w:pStyle w:val="Compact"/>
            </w:pPr>
            <w:r>
              <w:t xml:space="preserve">A</w:t>
            </w:r>
          </w:p>
        </w:tc>
        <w:tc>
          <w:tcPr/>
          <w:p>
            <w:pPr>
              <w:pStyle w:val="Compact"/>
            </w:pPr>
            <w:r>
              <w:t xml:space="preserve">86–83</w:t>
            </w:r>
          </w:p>
        </w:tc>
        <w:tc>
          <w:tcPr/>
          <w:p>
            <w:pPr>
              <w:pStyle w:val="Compact"/>
            </w:pPr>
            <w:r>
              <w:t xml:space="preserve">B</w:t>
            </w:r>
          </w:p>
        </w:tc>
        <w:tc>
          <w:tcPr/>
          <w:p>
            <w:pPr>
              <w:pStyle w:val="Compact"/>
            </w:pPr>
            <w:r>
              <w:t xml:space="preserve">76–73</w:t>
            </w:r>
          </w:p>
        </w:tc>
        <w:tc>
          <w:tcPr/>
          <w:p>
            <w:pPr>
              <w:pStyle w:val="Compact"/>
            </w:pPr>
            <w:r>
              <w:t xml:space="preserve">C</w:t>
            </w:r>
          </w:p>
        </w:tc>
      </w:tr>
      <w:tr>
        <w:tc>
          <w:tcPr/>
          <w:p>
            <w:pPr>
              <w:pStyle w:val="Compact"/>
            </w:pPr>
            <w:r>
              <w:t xml:space="preserve">92–90</w:t>
            </w:r>
          </w:p>
        </w:tc>
        <w:tc>
          <w:tcPr/>
          <w:p>
            <w:pPr>
              <w:pStyle w:val="Compact"/>
            </w:pPr>
            <w:r>
              <w:t xml:space="preserve">A-</w:t>
            </w:r>
          </w:p>
        </w:tc>
        <w:tc>
          <w:tcPr/>
          <w:p>
            <w:pPr>
              <w:pStyle w:val="Compact"/>
            </w:pPr>
            <w:r>
              <w:t xml:space="preserve">82–80</w:t>
            </w:r>
          </w:p>
        </w:tc>
        <w:tc>
          <w:tcPr/>
          <w:p>
            <w:pPr>
              <w:pStyle w:val="Compact"/>
            </w:pPr>
            <w:r>
              <w:t xml:space="preserve">B-</w:t>
            </w:r>
          </w:p>
        </w:tc>
        <w:tc>
          <w:tcPr/>
          <w:p>
            <w:pPr>
              <w:pStyle w:val="Compact"/>
            </w:pPr>
            <w:r>
              <w:t xml:space="preserve">72–60</w:t>
            </w:r>
          </w:p>
        </w:tc>
        <w:tc>
          <w:tcPr/>
          <w:p>
            <w:pPr>
              <w:pStyle w:val="Compact"/>
            </w:pPr>
            <w:r>
              <w:t xml:space="preserve">D</w:t>
            </w:r>
          </w:p>
        </w:tc>
      </w:tr>
      <w:tr>
        <w:tc>
          <w:tcPr/>
          <w:p>
            <w:pPr>
              <w:pStyle w:val="Compact"/>
            </w:pPr>
            <w:r>
              <w:t xml:space="preserve">89–87</w:t>
            </w:r>
          </w:p>
        </w:tc>
        <w:tc>
          <w:tcPr/>
          <w:p>
            <w:pPr>
              <w:pStyle w:val="Compact"/>
            </w:pPr>
            <w:r>
              <w:t xml:space="preserve">B+</w:t>
            </w:r>
          </w:p>
        </w:tc>
        <w:tc>
          <w:tcPr/>
          <w:p>
            <w:pPr>
              <w:pStyle w:val="Compact"/>
            </w:pPr>
            <w:r>
              <w:t xml:space="preserve">79–77</w:t>
            </w:r>
          </w:p>
        </w:tc>
        <w:tc>
          <w:tcPr/>
          <w:p>
            <w:pPr>
              <w:pStyle w:val="Compact"/>
            </w:pPr>
            <w:r>
              <w:t xml:space="preserve">C+</w:t>
            </w:r>
          </w:p>
        </w:tc>
        <w:tc>
          <w:tcPr/>
          <w:p>
            <w:pPr>
              <w:pStyle w:val="Compact"/>
            </w:pPr>
            <w:r>
              <w:t xml:space="preserve">59–0</w:t>
            </w:r>
          </w:p>
        </w:tc>
        <w:tc>
          <w:tcPr/>
          <w:p>
            <w:pPr>
              <w:pStyle w:val="Compact"/>
            </w:pPr>
            <w:r>
              <w:t xml:space="preserve">F</w:t>
            </w:r>
          </w:p>
        </w:tc>
      </w:tr>
    </w:tbl>
    <w:bookmarkEnd w:id="37"/>
    <w:bookmarkStart w:id="3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2"/>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2"/>
        </w:numPr>
      </w:pPr>
      <w:r>
        <w:t xml:space="preserve">In-person lab attendance and the Final TYC Project have no grace period.</w:t>
      </w:r>
    </w:p>
    <w:p>
      <w:pPr>
        <w:pStyle w:val="Compact"/>
        <w:numPr>
          <w:ilvl w:val="0"/>
          <w:numId w:val="1012"/>
        </w:numPr>
      </w:pPr>
      <w:r>
        <w:t xml:space="preserve">No due dates extend beyond the course end date.</w:t>
      </w:r>
    </w:p>
    <w:p>
      <w:pPr>
        <w:pStyle w:val="Compact"/>
        <w:numPr>
          <w:ilvl w:val="0"/>
          <w:numId w:val="1012"/>
        </w:numPr>
      </w:pPr>
      <w:r>
        <w:t xml:space="preserve">If something requiring a prolonged absence occurs, contact me via Canvas Inbox and let’s see what solutions are possible.</w:t>
      </w:r>
    </w:p>
    <w:bookmarkEnd w:id="38"/>
    <w:bookmarkStart w:id="39" w:name="feedback"/>
    <w:p>
      <w:pPr>
        <w:pStyle w:val="Heading2"/>
      </w:pPr>
      <w:r>
        <w:t xml:space="preserve">Feedback</w:t>
      </w:r>
    </w:p>
    <w:p>
      <w:pPr>
        <w:pStyle w:val="FirstParagraph"/>
      </w:pPr>
      <w:r>
        <w:t xml:space="preserve">Discussions and other work are graded within 48 hours of each due date.</w:t>
      </w:r>
    </w:p>
    <w:bookmarkEnd w:id="39"/>
    <w:bookmarkStart w:id="4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7"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2">
              <w:r>
                <w:rPr>
                  <w:rStyle w:val="Hyperlink"/>
                  <w:b/>
                  <w:bCs/>
                </w:rPr>
                <w:t xml:space="preserve">Tech Hub</w:t>
              </w:r>
            </w:hyperlink>
          </w:p>
        </w:tc>
        <w:tc>
          <w:tcPr/>
          <w:p>
            <w:pPr>
              <w:pStyle w:val="Compact"/>
            </w:pPr>
            <w:r>
              <w:t xml:space="preserve">Canvas, software, or account trouble —</w:t>
            </w:r>
            <w:r>
              <w:t xml:space="preserve"> </w:t>
            </w:r>
            <w:hyperlink r:id="rId43">
              <w:r>
                <w:rPr>
                  <w:rStyle w:val="Hyperlink"/>
                </w:rPr>
                <w:t xml:space="preserve">Scarpelli Hall 135</w:t>
              </w:r>
            </w:hyperlink>
            <w:r>
              <w:t xml:space="preserve"> </w:t>
            </w:r>
            <w:r>
              <w:t xml:space="preserve">·</w:t>
            </w:r>
            <w:r>
              <w:t xml:space="preserve"> </w:t>
            </w:r>
            <w:hyperlink r:id="rId44">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5">
              <w:r>
                <w:rPr>
                  <w:rStyle w:val="Hyperlink"/>
                </w:rPr>
                <w:t xml:space="preserve">Canvas Guides</w:t>
              </w:r>
            </w:hyperlink>
            <w:r>
              <w:t xml:space="preserve"> </w:t>
            </w:r>
            <w:r>
              <w:t xml:space="preserve">·</w:t>
            </w:r>
            <w:r>
              <w:t xml:space="preserve"> </w:t>
            </w:r>
            <w:hyperlink r:id="rId46">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8">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9">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0">
              <w:r>
                <w:rPr>
                  <w:rStyle w:val="Hyperlink"/>
                </w:rPr>
                <w:t xml:space="preserve">Virtual Tutoring Center</w:t>
              </w:r>
            </w:hyperlink>
            <w:r>
              <w:t xml:space="preserve"> </w:t>
            </w:r>
            <w:r>
              <w:t xml:space="preserve">Canvas course;</w:t>
            </w:r>
            <w:r>
              <w:t xml:space="preserve"> </w:t>
            </w:r>
            <w:hyperlink r:id="rId51">
              <w:r>
                <w:rPr>
                  <w:rStyle w:val="Hyperlink"/>
                </w:rPr>
                <w:t xml:space="preserve">eTutoringOnline.org</w:t>
              </w:r>
            </w:hyperlink>
            <w:r>
              <w:t xml:space="preserve"> </w:t>
            </w:r>
            <w:r>
              <w:t xml:space="preserve">for additional online writing lab support.</w:t>
            </w:r>
          </w:p>
        </w:tc>
      </w:tr>
      <w:tr>
        <w:tc>
          <w:tcPr/>
          <w:p>
            <w:pPr>
              <w:pStyle w:val="Compact"/>
            </w:pPr>
            <w:hyperlink r:id="rId52">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3">
              <w:r>
                <w:rPr>
                  <w:rStyle w:val="Hyperlink"/>
                </w:rPr>
                <w:t xml:space="preserve">chat</w:t>
              </w:r>
            </w:hyperlink>
            <w:r>
              <w:t xml:space="preserve">.</w:t>
            </w:r>
          </w:p>
        </w:tc>
      </w:tr>
    </w:tbl>
    <w:bookmarkEnd w:id="54"/>
    <w:bookmarkStart w:id="72"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5">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6">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7">
              <w:r>
                <w:rPr>
                  <w:rStyle w:val="Hyperlink"/>
                </w:rPr>
                <w:t xml:space="preserve">Diversity Center</w:t>
              </w:r>
            </w:hyperlink>
            <w:r>
              <w:t xml:space="preserve"> </w:t>
            </w:r>
            <w:r>
              <w:t xml:space="preserve">is a great place to visit between classes.</w:t>
            </w:r>
          </w:p>
        </w:tc>
      </w:tr>
      <w:tr>
        <w:tc>
          <w:tcPr/>
          <w:p>
            <w:pPr>
              <w:pStyle w:val="Compact"/>
            </w:pPr>
            <w:hyperlink r:id="rId58">
              <w:r>
                <w:rPr>
                  <w:rStyle w:val="Hyperlink"/>
                  <w:b/>
                  <w:bCs/>
                </w:rPr>
                <w:t xml:space="preserve">Penguin Pantry</w:t>
              </w:r>
            </w:hyperlink>
          </w:p>
        </w:tc>
        <w:tc>
          <w:tcPr/>
          <w:p>
            <w:pPr>
              <w:pStyle w:val="Compact"/>
            </w:pPr>
            <w:r>
              <w:t xml:space="preserve">Monthly pre-packaged food boxes. Contact Cath Busha, Dean of Student Engagement (</w:t>
            </w:r>
            <w:hyperlink r:id="rId59">
              <w:r>
                <w:rPr>
                  <w:rStyle w:val="Hyperlink"/>
                </w:rPr>
                <w:t xml:space="preserve">cbusha@clark.edu</w:t>
              </w:r>
            </w:hyperlink>
            <w:r>
              <w:t xml:space="preserve">).</w:t>
            </w:r>
          </w:p>
        </w:tc>
      </w:tr>
      <w:tr>
        <w:tc>
          <w:tcPr/>
          <w:p>
            <w:pPr>
              <w:pStyle w:val="Compact"/>
            </w:pPr>
            <w:hyperlink r:id="rId60">
              <w:r>
                <w:rPr>
                  <w:rStyle w:val="Hyperlink"/>
                  <w:b/>
                  <w:bCs/>
                </w:rPr>
                <w:t xml:space="preserve">Basic Needs Hub</w:t>
              </w:r>
            </w:hyperlink>
          </w:p>
        </w:tc>
        <w:tc>
          <w:tcPr/>
          <w:p>
            <w:pPr>
              <w:pStyle w:val="Compact"/>
            </w:pPr>
            <w:r>
              <w:t xml:space="preserve">Help with food, housing, and financial challenges —</w:t>
            </w:r>
            <w:r>
              <w:t xml:space="preserve"> </w:t>
            </w:r>
            <w:hyperlink r:id="rId61">
              <w:r>
                <w:rPr>
                  <w:rStyle w:val="Hyperlink"/>
                </w:rPr>
                <w:t xml:space="preserve">intake form</w:t>
              </w:r>
            </w:hyperlink>
            <w:r>
              <w:t xml:space="preserve">. basicneeds@clark.edu · 360-992-2766 · Gaiser Hall (GHL) 216.</w:t>
            </w:r>
          </w:p>
        </w:tc>
      </w:tr>
      <w:tr>
        <w:tc>
          <w:tcPr/>
          <w:p>
            <w:pPr>
              <w:pStyle w:val="Compact"/>
            </w:pPr>
            <w:hyperlink r:id="rId62">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3">
              <w:r>
                <w:rPr>
                  <w:rStyle w:val="Hyperlink"/>
                </w:rPr>
                <w:t xml:space="preserve">schedule an appointment</w:t>
              </w:r>
            </w:hyperlink>
            <w:r>
              <w:t xml:space="preserve">.</w:t>
            </w:r>
          </w:p>
        </w:tc>
      </w:tr>
      <w:tr>
        <w:tc>
          <w:tcPr/>
          <w:p>
            <w:pPr>
              <w:pStyle w:val="Compact"/>
            </w:pPr>
            <w:hyperlink r:id="rId64">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5">
              <w:r>
                <w:rPr>
                  <w:rStyle w:val="Hyperlink"/>
                </w:rPr>
                <w:t xml:space="preserve">careerservices@clark.edu</w:t>
              </w:r>
            </w:hyperlink>
          </w:p>
        </w:tc>
      </w:tr>
      <w:tr>
        <w:tc>
          <w:tcPr/>
          <w:p>
            <w:pPr>
              <w:pStyle w:val="Compact"/>
            </w:pPr>
            <w:hyperlink r:id="rId66">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7">
              <w:r>
                <w:rPr>
                  <w:rStyle w:val="Hyperlink"/>
                </w:rPr>
                <w:t xml:space="preserve">PUB 015</w:t>
              </w:r>
            </w:hyperlink>
            <w:r>
              <w:t xml:space="preserve"> </w:t>
            </w:r>
            <w:r>
              <w:t xml:space="preserve">· 360-992-2073 ·</w:t>
            </w:r>
            <w:r>
              <w:t xml:space="preserve"> </w:t>
            </w:r>
            <w:hyperlink r:id="rId68">
              <w:r>
                <w:rPr>
                  <w:rStyle w:val="Hyperlink"/>
                </w:rPr>
                <w:t xml:space="preserve">Vetresources@clark.edu</w:t>
              </w:r>
            </w:hyperlink>
          </w:p>
        </w:tc>
      </w:tr>
    </w:tbl>
    <w:p>
      <w:pPr>
        <w:pStyle w:val="BodyText"/>
      </w:pPr>
      <w:r>
        <w:t xml:space="preserve">You can find all these resources as well as links to the</w:t>
      </w:r>
      <w:r>
        <w:t xml:space="preserve"> </w:t>
      </w:r>
      <w:hyperlink r:id="rId26">
        <w:r>
          <w:rPr>
            <w:rStyle w:val="Hyperlink"/>
          </w:rPr>
          <w:t xml:space="preserve">Clark bookstore</w:t>
        </w:r>
      </w:hyperlink>
      <w:r>
        <w:t xml:space="preserve">,</w:t>
      </w:r>
      <w:r>
        <w:t xml:space="preserve"> </w:t>
      </w:r>
      <w:hyperlink r:id="rId69">
        <w:r>
          <w:rPr>
            <w:rStyle w:val="Hyperlink"/>
          </w:rPr>
          <w:t xml:space="preserve">C-Tran</w:t>
        </w:r>
      </w:hyperlink>
      <w:r>
        <w:t xml:space="preserve">,</w:t>
      </w:r>
      <w:r>
        <w:t xml:space="preserve"> </w:t>
      </w:r>
      <w:hyperlink r:id="rId70">
        <w:r>
          <w:rPr>
            <w:rStyle w:val="Hyperlink"/>
          </w:rPr>
          <w:t xml:space="preserve">campus maps</w:t>
        </w:r>
      </w:hyperlink>
      <w:r>
        <w:t xml:space="preserve">, and campus life and activities at the</w:t>
      </w:r>
      <w:r>
        <w:t xml:space="preserve"> </w:t>
      </w:r>
      <w:hyperlink r:id="rId71">
        <w:r>
          <w:rPr>
            <w:rStyle w:val="Hyperlink"/>
          </w:rPr>
          <w:t xml:space="preserve">Clark Students website</w:t>
        </w:r>
      </w:hyperlink>
      <w:r>
        <w:t xml:space="preserve">.</w:t>
      </w:r>
    </w:p>
    <w:bookmarkEnd w:id="72"/>
    <w:bookmarkEnd w:id="73"/>
    <w:bookmarkStart w:id="7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4"/>
    <w:bookmarkStart w:id="76"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3"/>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3"/>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3"/>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3"/>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5">
        <w:r>
          <w:rPr>
            <w:rStyle w:val="Hyperlink"/>
          </w:rPr>
          <w:t xml:space="preserve">Clark College Policies Canvas course</w:t>
        </w:r>
      </w:hyperlink>
      <w:r>
        <w:t xml:space="preserv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2026-10-23T17:50:03Z</dcterms:created>
  <dcterms:modified xsi:type="dcterms:W3CDTF">2026-10-23T17:50:03Z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