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w:t>
      </w:r>
      <w:r>
        <w:t xml:space="preserve"> </w:t>
      </w:r>
      <w:r>
        <w:t xml:space="preserve">Introduction</w:t>
      </w:r>
      <w:r>
        <w:t xml:space="preserve"> </w:t>
      </w:r>
      <w:r>
        <w:t xml:space="preserve">to</w:t>
      </w:r>
      <w:r>
        <w:t xml:space="preserve"> </w:t>
      </w:r>
      <w:r>
        <w:t xml:space="preserve">Chemistry</w:t>
      </w:r>
    </w:p>
    <w:bookmarkStart w:id="20" w:name="why-this-course-why-you"/>
    <w:p>
      <w:pPr>
        <w:pStyle w:val="Heading1"/>
      </w:pPr>
      <w:r>
        <w:t xml:space="preserve">Why This Course, Why You</w:t>
      </w:r>
    </w:p>
    <w:p>
      <w:pPr>
        <w:pStyle w:val="FirstParagraph"/>
      </w:pPr>
      <w:r>
        <w:t xml:space="preserve">You’re here because chemistry is a required step toward a health career — Nursing, Dental Hygiene, or another health-occupations path. This course exists to build the specific chemistry reasoning health professionals actually use: dosage calculations, molecular behavior, and the math-conversion fluency that shows up constantly in clinical work. This isn’t chemistry for its own sake — it’s the foundation the rest of your health career gets built on. Chemistry is also the foundation of the human body itself — the foods you eat and the environment around you determine physiological impacts and outcomes at a chemical level.</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CHEM&amp;121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4"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CHEM&amp;121: Introduction to Chemistry (Pre-Health)</w:t>
            </w:r>
          </w:p>
        </w:tc>
      </w:tr>
      <w:tr>
        <w:tc>
          <w:tcPr/>
          <w:p>
            <w:pPr>
              <w:pStyle w:val="Compact"/>
              <w:jc w:val="left"/>
            </w:pPr>
            <w:r>
              <w:rPr>
                <w:bCs/>
                <w:b/>
              </w:rPr>
              <w:t xml:space="preserve">Course Nbr/Sec</w:t>
            </w:r>
          </w:p>
        </w:tc>
        <w:tc>
          <w:tcPr/>
          <w:p>
            <w:pPr>
              <w:pStyle w:val="Compact"/>
              <w:jc w:val="left"/>
            </w:pPr>
            <w:r>
              <w:t xml:space="preserve">18405/18406, 18407/18408</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222, Mo/We 2:00–3:50 PM (18405) or Mo/We 5:00–6:50 PM (18407). Lecture/discussion: online, asynchronous.</w:t>
            </w:r>
          </w:p>
        </w:tc>
      </w:tr>
      <w:tr>
        <w:tc>
          <w:tcPr/>
          <w:p>
            <w:pPr>
              <w:pStyle w:val="Compact"/>
              <w:jc w:val="left"/>
            </w:pPr>
            <w:r>
              <w:rPr>
                <w:bCs/>
                <w:b/>
              </w:rPr>
              <w:t xml:space="preserve">Course Site</w:t>
            </w:r>
          </w:p>
        </w:tc>
        <w:tc>
          <w:tcPr/>
          <w:p>
            <w:pPr>
              <w:pStyle w:val="Compact"/>
              <w:jc w:val="left"/>
            </w:pPr>
            <w:r>
              <w:t xml:space="preserve">Canvas Learning Management System (clarkcollege.instructure.com)</w:t>
            </w:r>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MATH 96 (grade of</w:t>
            </w:r>
            <w:r>
              <w:t xml:space="preserve"> </w:t>
            </w:r>
            <w:r>
              <w:t xml:space="preserve">“</w:t>
            </w:r>
            <w:r>
              <w:t xml:space="preserve">C</w:t>
            </w:r>
            <w:r>
              <w:t xml:space="preserve">”</w:t>
            </w:r>
            <w:r>
              <w:t xml:space="preserve"> </w:t>
            </w:r>
            <w:r>
              <w:t xml:space="preserve">or higher), or placement into Math level 45.</w:t>
            </w:r>
          </w:p>
        </w:tc>
      </w:tr>
      <w:tr>
        <w:tc>
          <w:tcPr/>
          <w:p>
            <w:pPr>
              <w:pStyle w:val="Compact"/>
              <w:jc w:val="left"/>
            </w:pPr>
            <w:r>
              <w:rPr>
                <w:bCs/>
                <w:b/>
              </w:rPr>
              <w:t xml:space="preserve">Course Description</w:t>
            </w:r>
          </w:p>
        </w:tc>
        <w:tc>
          <w:tcPr/>
          <w:p>
            <w:pPr>
              <w:pStyle w:val="Compact"/>
              <w:jc w:val="left"/>
            </w:pPr>
            <w:r>
              <w:rPr>
                <w:bCs/>
                <w:b/>
              </w:rPr>
              <w:t xml:space="preserve">What the catalog 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Cs/>
                <w:b/>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24"/>
    <w:bookmarkStart w:id="29" w:name="welcome-to-class"/>
    <w:p>
      <w:pPr>
        <w:pStyle w:val="Heading1"/>
      </w:pPr>
      <w:r>
        <w:t xml:space="preserve">Welcome to Class!</w:t>
      </w:r>
    </w:p>
    <w:p>
      <w:pPr>
        <w:pStyle w:val="FirstParagraph"/>
      </w:pPr>
      <w:r>
        <w:rPr>
          <w:bCs/>
          <w:b/>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Cs/>
          <w:b/>
        </w:rPr>
        <w:t xml:space="preserve">Dr. B’s Note:</w:t>
      </w:r>
      <w:r>
        <w:t xml:space="preserve"> </w:t>
      </w:r>
      <w:r>
        <w:rPr>
          <w:iCs/>
          <w:i/>
        </w:rPr>
        <w:t xml:space="preserve">Most students who stick with the weekly rhythm and stay engaged do well. The difference isn’t talent, it’s showing up consistently. Give yourself a fighting chance.</w:t>
      </w:r>
    </w:p>
    <w:bookmarkStart w:id="25"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25"/>
    <w:bookmarkStart w:id="26"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6"/>
    <w:bookmarkStart w:id="27"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 viewing the steps for requesting accommodations at clark.edu/dac.</w:t>
      </w:r>
    </w:p>
    <w:bookmarkEnd w:id="27"/>
    <w:bookmarkStart w:id="28" w:name="weekly-flow"/>
    <w:p>
      <w:pPr>
        <w:pStyle w:val="Heading2"/>
      </w:pPr>
      <w:r>
        <w:t xml:space="preserve">Weekly Flow</w:t>
      </w:r>
    </w:p>
    <w:p>
      <w:pPr>
        <w:pStyle w:val="FirstParagraph"/>
      </w:pPr>
      <w:r>
        <w:rPr>
          <w:bCs/>
          <w:b/>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28"/>
    <w:bookmarkEnd w:id="29"/>
    <w:bookmarkStart w:id="31" w:name="about-your-instructor"/>
    <w:p>
      <w:pPr>
        <w:pStyle w:val="Heading1"/>
      </w:pPr>
      <w:r>
        <w:t xml:space="preserve">About Your Instructor</w:t>
      </w:r>
    </w:p>
    <w:p>
      <w:pPr>
        <w:pStyle w:val="FirstParagraph"/>
      </w:pPr>
      <w:r>
        <w:rPr>
          <w:bCs/>
          <w:b/>
        </w:rPr>
        <w:t xml:space="preserve">TL;DR:</w:t>
      </w:r>
      <w:r>
        <w:t xml:space="preserve"> </w:t>
      </w:r>
      <w:r>
        <w:t xml:space="preserve">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Monday &amp; Wednesday, 1:00–2:00 PM and 4:00–5:00 PM (1 hour before each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0"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0"/>
    <w:bookmarkEnd w:id="31"/>
    <w:bookmarkStart w:id="32" w:name="what-course-materials-will-i-need"/>
    <w:p>
      <w:pPr>
        <w:pStyle w:val="Heading1"/>
      </w:pPr>
      <w:r>
        <w:t xml:space="preserve">What Course Materials Will I Need?</w:t>
      </w:r>
    </w:p>
    <w:p>
      <w:pPr>
        <w:pStyle w:val="FirstParagraph"/>
      </w:pPr>
      <w:r>
        <w:rPr>
          <w:bCs/>
          <w:b/>
        </w:rPr>
        <w:t xml:space="preserve">TL;DR:</w:t>
      </w:r>
      <w:r>
        <w:t xml:space="preserve"> </w:t>
      </w:r>
      <w:r>
        <w:t xml:space="preserve">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rPr>
                <w:bCs/>
                <w:b/>
              </w:rPr>
              <w:t xml:space="preserve">CHEM&amp;121 Lab Manual</w:t>
            </w:r>
            <w:r>
              <w:t xml:space="preserve"> </w:t>
            </w:r>
            <w:r>
              <w:t xml:space="preserve">(lab manual) — required.</w:t>
            </w:r>
            <w:r>
              <w:t xml:space="preserve"> </w:t>
            </w:r>
            <w:r>
              <w:rPr>
                <w:iCs/>
                <w:i/>
              </w:rPr>
              <w:t xml:space="preserve">[edition/ISBN/price TBD]</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 eLearning accessibility and privacy policies page (clark.edu/academics/eLearning) 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 eLearning accessibility and privacy policies page (clark.edu/academics/eLearning) 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 Clark College Bookstore,</w:t>
            </w:r>
            <w:r>
              <w:t xml:space="preserve"> </w:t>
            </w:r>
            <w:r>
              <w:rPr>
                <w:iCs/>
                <w:i/>
              </w:rPr>
              <w:t xml:space="preserve">[bookstore link pending]</w:t>
            </w:r>
            <w:r>
              <w:t xml:space="preserve">.</w:t>
            </w:r>
            <w:r>
              <w:t xml:space="preserve">ALEKS: access is set up automatically in Canvas once your registration is processed.</w:t>
            </w:r>
          </w:p>
        </w:tc>
      </w:tr>
    </w:tbl>
    <w:bookmarkEnd w:id="32"/>
    <w:bookmarkStart w:id="40" w:name="what-are-the-course-agreements"/>
    <w:p>
      <w:pPr>
        <w:pStyle w:val="Heading1"/>
      </w:pPr>
      <w:r>
        <w:t xml:space="preserve">What Are the Course Agreements?</w:t>
      </w:r>
    </w:p>
    <w:p>
      <w:pPr>
        <w:pStyle w:val="FirstParagraph"/>
      </w:pPr>
      <w:r>
        <w:rPr>
          <w:bCs/>
          <w:b/>
        </w:rPr>
        <w:t xml:space="preserve">TL;DR:</w:t>
      </w:r>
      <w:r>
        <w:t xml:space="preserve"> </w:t>
      </w:r>
      <w:r>
        <w:t xml:space="preserve">Message me in Canvas Inbox, cite anything that isn’t yours, never let AI write your discussion posts, and show up ready to work.</w:t>
      </w:r>
    </w:p>
    <w:bookmarkStart w:id="33"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3"/>
    <w:bookmarkStart w:id="34"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 Clark College Libraries’ plagiarism guide is a handy resource for learning about what plagiarism is and how to avoid it. I am here if you have questions about how to correctly cite outside information in your work.</w:t>
      </w:r>
    </w:p>
    <w:bookmarkEnd w:id="34"/>
    <w:bookmarkStart w:id="38" w:name="X557e592dac108a6d1044d97136f1b079f25201c"/>
    <w:p>
      <w:pPr>
        <w:pStyle w:val="Heading2"/>
      </w:pPr>
      <w:r>
        <w:t xml:space="preserve">AI (Artificial Intelligence) Guidelines — Community AI Agreement</w:t>
      </w:r>
    </w:p>
    <w:p>
      <w:pPr>
        <w:pStyle w:val="FirstParagraph"/>
      </w:pPr>
      <w:r>
        <w:rPr>
          <w:bCs/>
          <w:b/>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5"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lab answer or ALEKS work.</w:t>
      </w:r>
    </w:p>
    <w:bookmarkEnd w:id="35"/>
    <w:bookmarkStart w:id="36"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36"/>
    <w:bookmarkStart w:id="37" w:name="follow-up"/>
    <w:p>
      <w:pPr>
        <w:pStyle w:val="Heading3"/>
      </w:pPr>
      <w:r>
        <w:t xml:space="preserve">Follow-Up</w:t>
      </w:r>
    </w:p>
    <w:p>
      <w:pPr>
        <w:numPr>
          <w:ilvl w:val="0"/>
          <w:numId w:val="1004"/>
        </w:numPr>
        <w:pStyle w:val="Compact"/>
      </w:pPr>
      <w:r>
        <w:rPr>
          <w:bCs/>
          <w:b/>
        </w:rPr>
        <w:t xml:space="preserve">Discussions</w:t>
      </w:r>
      <w:r>
        <w:t xml:space="preserve"> </w:t>
      </w:r>
      <w:r>
        <w:t xml:space="preserve">— AI-generated content in any post, reply, or Team Lead summary = zero credit for that submission, regardless of declaration. Repeated instances = academic integrity referral.</w:t>
      </w:r>
    </w:p>
    <w:p>
      <w:pPr>
        <w:numPr>
          <w:ilvl w:val="0"/>
          <w:numId w:val="1004"/>
        </w:numPr>
        <w:pStyle w:val="Compact"/>
      </w:pPr>
      <w:r>
        <w:rPr>
          <w:bCs/>
          <w:b/>
        </w:rPr>
        <w:t xml:space="preserve">Labs</w:t>
      </w:r>
      <w:r>
        <w:t xml:space="preserve"> </w:t>
      </w:r>
      <w:r>
        <w:t xml:space="preserve">— fake data = zero for the lab. AI answer without declaration = zero for the question. No regrades.</w:t>
      </w:r>
    </w:p>
    <w:p>
      <w:pPr>
        <w:numPr>
          <w:ilvl w:val="0"/>
          <w:numId w:val="1004"/>
        </w:numPr>
        <w:pStyle w:val="Compact"/>
      </w:pPr>
      <w:r>
        <w:rPr>
          <w:bCs/>
          <w:b/>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37"/>
    <w:bookmarkEnd w:id="38"/>
    <w:bookmarkStart w:id="39"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39"/>
    <w:bookmarkEnd w:id="40"/>
    <w:bookmarkStart w:id="41" w:name="X762e0c562ca86535819c7c15adbe8dbe270c6b6"/>
    <w:p>
      <w:pPr>
        <w:pStyle w:val="Heading1"/>
      </w:pPr>
      <w:r>
        <w:t xml:space="preserve">What Are the Learning Goals in This Course?</w:t>
      </w:r>
    </w:p>
    <w:p>
      <w:pPr>
        <w:pStyle w:val="FirstParagraph"/>
      </w:pPr>
      <w:r>
        <w:rPr>
          <w:bCs/>
          <w:b/>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element reactivity as it applies to how bonds are formed and broken, with context to physiology, pharmacology, and metabolism.</w:t>
      </w:r>
    </w:p>
    <w:p>
      <w:pPr>
        <w:numPr>
          <w:ilvl w:val="0"/>
          <w:numId w:val="1006"/>
        </w:numPr>
        <w:pStyle w:val="Compact"/>
      </w:pPr>
      <w:r>
        <w:rPr>
          <w:bCs/>
          <w:b/>
        </w:rPr>
        <w:t xml:space="preserve">CLO2:</w:t>
      </w:r>
      <w:r>
        <w:t xml:space="preserve"> </w:t>
      </w:r>
      <w:r>
        <w:t xml:space="preserve">Demonstrates a clinical-based level of understanding of the forces at play within and between molecules and ions, and their impact on whether substances are water (hydrophilic) or fat (hydrophobic) soluble.</w:t>
      </w:r>
    </w:p>
    <w:p>
      <w:pPr>
        <w:numPr>
          <w:ilvl w:val="0"/>
          <w:numId w:val="1006"/>
        </w:numPr>
        <w:pStyle w:val="Compact"/>
      </w:pPr>
      <w:r>
        <w:rPr>
          <w:bCs/>
          <w:b/>
        </w:rPr>
        <w:t xml:space="preserve">CLO3:</w:t>
      </w:r>
      <w:r>
        <w:t xml:space="preserve"> </w:t>
      </w:r>
      <w:r>
        <w:t xml:space="preserve">Displays critical thinking and mathematical skills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1"/>
    <w:bookmarkStart w:id="48" w:name="how-will-i-be-graded-and-why"/>
    <w:p>
      <w:pPr>
        <w:pStyle w:val="Heading1"/>
      </w:pPr>
      <w:r>
        <w:t xml:space="preserve">How Will I Be Graded, and Why?</w:t>
      </w:r>
    </w:p>
    <w:p>
      <w:pPr>
        <w:pStyle w:val="FirstParagraph"/>
      </w:pPr>
      <w:r>
        <w:rPr>
          <w:bCs/>
          <w:b/>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w:t>
      </w:r>
      <w:r>
        <w:t xml:space="preserve">“</w:t>
      </w:r>
      <w:r>
        <w:t xml:space="preserve">Learn on, do one, teach on.</w:t>
      </w:r>
      <w:r>
        <w:t xml:space="preserve">”</w:t>
      </w:r>
      <w:r>
        <w:t xml:space="preserve">)</w:t>
      </w:r>
    </w:p>
    <w:bookmarkStart w:id="42"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2"/>
    <w:bookmarkStart w:id="43"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3"/>
    <w:bookmarkStart w:id="44"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71</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44"/>
    <w:bookmarkStart w:id="45"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45"/>
    <w:bookmarkStart w:id="46" w:name="feedback"/>
    <w:p>
      <w:pPr>
        <w:pStyle w:val="Heading2"/>
      </w:pPr>
      <w:r>
        <w:t xml:space="preserve">Feedback</w:t>
      </w:r>
    </w:p>
    <w:p>
      <w:pPr>
        <w:pStyle w:val="FirstParagraph"/>
      </w:pPr>
      <w:r>
        <w:t xml:space="preserve">Discussions and other work are graded within 48 hours of each due date.</w:t>
      </w:r>
    </w:p>
    <w:bookmarkEnd w:id="46"/>
    <w:bookmarkStart w:id="47"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7"/>
    <w:bookmarkEnd w:id="48"/>
    <w:bookmarkStart w:id="52" w:name="Xc43a7a922298ad0f9db64bde08ef36f42168a56"/>
    <w:p>
      <w:pPr>
        <w:pStyle w:val="Heading1"/>
      </w:pPr>
      <w:r>
        <w:t xml:space="preserve">What Resources and Support Services Are Available to Me?</w:t>
      </w:r>
    </w:p>
    <w:p>
      <w:pPr>
        <w:pStyle w:val="FirstParagraph"/>
      </w:pPr>
      <w:r>
        <w:rPr>
          <w:bCs/>
          <w:b/>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Tech Hub</w:t>
            </w:r>
          </w:p>
        </w:tc>
        <w:tc>
          <w:tcPr/>
          <w:p>
            <w:pPr>
              <w:pStyle w:val="Compact"/>
              <w:jc w:val="left"/>
            </w:pPr>
            <w:r>
              <w:t xml:space="preserve">Canvas, software, or account trouble — Scarpelli Hall 135 · techhub@clark.edu ·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w:t>
            </w:r>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49"/>
    <w:bookmarkStart w:id="50"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Student Success Coaches</w:t>
            </w:r>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r>
              <w:rPr>
                <w:bCs/>
                <w:b/>
              </w:rPr>
              <w:t xml:space="preserve">Clark College Tutoring Services</w:t>
            </w:r>
          </w:p>
        </w:tc>
        <w:tc>
          <w:tcPr/>
          <w:p>
            <w:pPr>
              <w:pStyle w:val="Compact"/>
              <w:jc w:val="left"/>
            </w:pPr>
            <w:r>
              <w:t xml:space="preserve">In-person and virtual tutoring via Zoom; eTutoringOnline.org for additional online writing lab support.</w:t>
            </w:r>
          </w:p>
        </w:tc>
      </w:tr>
      <w:tr>
        <w:tc>
          <w:tcPr/>
          <w:p>
            <w:pPr>
              <w:pStyle w:val="Compact"/>
              <w:jc w:val="left"/>
            </w:pPr>
            <w:r>
              <w:rPr>
                <w:bCs/>
                <w:b/>
              </w:rPr>
              <w:t xml:space="preserve">Clark College Librarians</w:t>
            </w:r>
          </w:p>
        </w:tc>
        <w:tc>
          <w:tcPr/>
          <w:p>
            <w:pPr>
              <w:pStyle w:val="Compact"/>
              <w:jc w:val="left"/>
            </w:pPr>
            <w:r>
              <w:t xml:space="preserve">One-on-one help with research projects and source citations, in person or by chat.</w:t>
            </w:r>
          </w:p>
        </w:tc>
      </w:tr>
    </w:tbl>
    <w:bookmarkEnd w:id="50"/>
    <w:bookmarkStart w:id="51"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Counseling and Health Center</w:t>
            </w:r>
          </w:p>
        </w:tc>
        <w:tc>
          <w:tcPr/>
          <w:p>
            <w:pPr>
              <w:pStyle w:val="Compact"/>
              <w:jc w:val="left"/>
            </w:pPr>
            <w:r>
              <w:t xml:space="preserve">Physical and mental health services to support student wellness and academic success.</w:t>
            </w:r>
          </w:p>
        </w:tc>
      </w:tr>
      <w:tr>
        <w:tc>
          <w:tcPr/>
          <w:p>
            <w:pPr>
              <w:pStyle w:val="Compact"/>
              <w:jc w:val="left"/>
            </w:pPr>
            <w:r>
              <w:rPr>
                <w:bCs/>
                <w:b/>
              </w:rPr>
              <w:t xml:space="preserve">Office of People and Culture (OPC)</w:t>
            </w:r>
          </w:p>
        </w:tc>
        <w:tc>
          <w:tcPr/>
          <w:p>
            <w:pPr>
              <w:pStyle w:val="Compact"/>
              <w:jc w:val="left"/>
            </w:pPr>
            <w:r>
              <w:t xml:space="preserve">Supports systemically non-dominant groups navigating Clark College; the Diversity Center is a great place to visit between classes.</w:t>
            </w:r>
          </w:p>
        </w:tc>
      </w:tr>
      <w:tr>
        <w:tc>
          <w:tcPr/>
          <w:p>
            <w:pPr>
              <w:pStyle w:val="Compact"/>
              <w:jc w:val="left"/>
            </w:pPr>
            <w:r>
              <w:rPr>
                <w:bCs/>
                <w:b/>
              </w:rPr>
              <w:t xml:space="preserve">Penguin Pantry</w:t>
            </w:r>
          </w:p>
        </w:tc>
        <w:tc>
          <w:tcPr/>
          <w:p>
            <w:pPr>
              <w:pStyle w:val="Compact"/>
              <w:jc w:val="left"/>
            </w:pPr>
            <w:r>
              <w:t xml:space="preserve">Monthly pre-packaged food boxes. Contact Cath Busha, Dean of Student Engagement (cbusha@clark.edu).</w:t>
            </w:r>
          </w:p>
        </w:tc>
      </w:tr>
      <w:tr>
        <w:tc>
          <w:tcPr/>
          <w:p>
            <w:pPr>
              <w:pStyle w:val="Compact"/>
              <w:jc w:val="left"/>
            </w:pPr>
            <w:r>
              <w:rPr>
                <w:bCs/>
                <w:b/>
              </w:rPr>
              <w:t xml:space="preserve">Basic Needs Hub</w:t>
            </w:r>
          </w:p>
        </w:tc>
        <w:tc>
          <w:tcPr/>
          <w:p>
            <w:pPr>
              <w:pStyle w:val="Compact"/>
              <w:jc w:val="left"/>
            </w:pPr>
            <w:r>
              <w:t xml:space="preserve">Help with food, housing, and financial challenges. basicneeds@clark.edu · 360-992-2766 · Gaiser Hall (GHL) 216.</w:t>
            </w:r>
          </w:p>
        </w:tc>
      </w:tr>
      <w:tr>
        <w:tc>
          <w:tcPr/>
          <w:p>
            <w:pPr>
              <w:pStyle w:val="Compact"/>
              <w:jc w:val="left"/>
            </w:pPr>
            <w:r>
              <w:rPr>
                <w:bCs/>
                <w:b/>
              </w:rPr>
              <w:t xml:space="preserve">Advising Services</w:t>
            </w:r>
          </w:p>
        </w:tc>
        <w:tc>
          <w:tcPr/>
          <w:p>
            <w:pPr>
              <w:pStyle w:val="Compact"/>
              <w:jc w:val="left"/>
            </w:pPr>
            <w:r>
              <w:t xml:space="preserve">Co-create academic plans aligned with your career and personal goals.</w:t>
            </w:r>
          </w:p>
        </w:tc>
      </w:tr>
      <w:tr>
        <w:tc>
          <w:tcPr/>
          <w:p>
            <w:pPr>
              <w:pStyle w:val="Compact"/>
              <w:jc w:val="left"/>
            </w:pPr>
            <w:r>
              <w:rPr>
                <w:bCs/>
                <w:b/>
              </w:rPr>
              <w:t xml:space="preserve">Career Services</w:t>
            </w:r>
          </w:p>
        </w:tc>
        <w:tc>
          <w:tcPr/>
          <w:p>
            <w:pPr>
              <w:pStyle w:val="Compact"/>
              <w:jc w:val="left"/>
            </w:pPr>
            <w:r>
              <w:t xml:space="preserve">Resources and strategies for career and employment goals. 360-992-2902 · careerservices@clark.edu</w:t>
            </w:r>
          </w:p>
        </w:tc>
      </w:tr>
      <w:tr>
        <w:tc>
          <w:tcPr/>
          <w:p>
            <w:pPr>
              <w:pStyle w:val="Compact"/>
              <w:jc w:val="left"/>
            </w:pPr>
            <w:r>
              <w:rPr>
                <w:bCs/>
                <w:b/>
              </w:rPr>
              <w:t xml:space="preserve">Veterans Center of Excellence</w:t>
            </w:r>
          </w:p>
        </w:tc>
        <w:tc>
          <w:tcPr/>
          <w:p>
            <w:pPr>
              <w:pStyle w:val="Compact"/>
              <w:jc w:val="left"/>
            </w:pPr>
            <w:r>
              <w:t xml:space="preserve">Resources, community, and support for U.S. military service members. PUB 015 · 360-992-2073 · Vetresources@clark.edu</w:t>
            </w:r>
          </w:p>
        </w:tc>
      </w:tr>
    </w:tbl>
    <w:p>
      <w:pPr>
        <w:pStyle w:val="BodyText"/>
      </w:pPr>
      <w:r>
        <w:t xml:space="preserve">You can find all these resources as well as links to the Clark bookstore, C-Tran, campus maps, and campus life and activities at the Clark Students website.</w:t>
      </w:r>
    </w:p>
    <w:bookmarkEnd w:id="51"/>
    <w:bookmarkEnd w:id="52"/>
    <w:bookmarkStart w:id="5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53"/>
    <w:bookmarkStart w:id="58"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54"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steps on the DAC website www.clark.edu/dac.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 dac@clark.edu.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 request them every term in myAccess. Students who need to test at DAC also need to schedule their own exams in myAccess or by contacting DAC. Exams should be scheduled with DAC with at least 5 business days’ notice. Please reach out to DACtesting@clark.edu 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54"/>
    <w:bookmarkStart w:id="55"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 hr@clark.edu</w:t>
      </w:r>
    </w:p>
    <w:bookmarkEnd w:id="55"/>
    <w:bookmarkStart w:id="56"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 campus and community resources, reporting options, Title IX, personal safety, and how to help a friend who may have experienced sexual misconduct at clark.edu/title-IX. You can also contact the Counseling and Health Center if you would like to pursue counseling.</w:t>
      </w:r>
    </w:p>
    <w:bookmarkEnd w:id="56"/>
    <w:bookmarkStart w:id="57"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 Student Rights and Responsibilities page,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2026-09-12T00:11:25Z</dcterms:created>
  <dcterms:modified xsi:type="dcterms:W3CDTF">2026-09-12T00:11:25Z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