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CHEM&amp;131: Introduction to Organic and Biochemistry</w:t>
      </w:r>
    </w:p>
    <w:p>
      <w:pPr>
        <w:pStyle w:val="Subtitle"/>
      </w:pPr>
      <w:r>
        <w:rPr>
          <w:lang w:val="en-US"/>
        </w:rPr>
        <w:t xml:space="preserve">Syllabus and What’s Covered — Fall 2026 (September 21 – December 10, 2026)</w:t>
      </w:r>
    </w:p>
    <w:p>
      <w:pPr>
        <w:pStyle w:val="Author"/>
      </w:pPr>
      <w:r>
        <w:rPr>
          <w:lang w:val="en-US"/>
        </w:rPr>
        <w:t xml:space="preserve">Dr. Karl Bailey (Dr. B), Clark College</w:t>
      </w:r>
    </w:p>
    <w:bookmarkStart w:id="9" w:name="why-this-course-why-you"/>
    <w:p>
      <w:pPr>
        <w:pStyle w:val="Heading1"/>
      </w:pPr>
      <w:r>
        <w:rPr>
          <w:lang w:val="en-US"/>
        </w:rPr>
        <w:t xml:space="preserve">Why This Course, Why You</w:t>
      </w:r>
    </w:p>
    <w:p>
      <w:pPr>
        <w:pStyle w:val="FirstParagraph"/>
      </w:pPr>
      <w:r>
        <w:rPr>
          <w:lang w:val="en-US"/>
        </w:rP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rPr>
          <w:lang w:val="en-US"/>
        </w:rP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9"/>
    <w:bookmarkStart w:id="12" w:name="start-here"/>
    <w:p>
      <w:pPr>
        <w:pStyle w:val="Heading1"/>
      </w:pPr>
      <w:r>
        <w:rPr>
          <w:lang w:val="en-US"/>
        </w:rPr>
        <w:t xml:space="preserve">Start Here</w:t>
      </w:r>
    </w:p>
    <w:p>
      <w:pPr>
        <w:pStyle w:val="FirstParagraph"/>
      </w:pPr>
      <w:r>
        <w:rPr>
          <w:lang w:val="en-US"/>
        </w:rP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What it costs</w:t>
            </w:r>
          </w:p>
        </w:tc>
        <w:tc>
          <w:tcPr/>
          <w:p>
            <w:pPr>
              <w:pStyle w:val="Compact"/>
            </w:pPr>
            <w:r>
              <w:rPr>
                <w:b/>
                <w:bCs/>
                <w:lang w:val="en-US"/>
              </w:rPr>
              <w:t xml:space="preserve">Chemfolio</w:t>
            </w:r>
            <w:r>
              <w:rPr>
                <w:lang w:val="en-US"/>
              </w:rPr>
              <w:t xml:space="preserve"> </w:t>
            </w:r>
            <w:r>
              <w:rPr>
                <w:i/>
                <w:iCs/>
                <w:lang w:val="en-US"/>
              </w:rPr>
              <w:t xml:space="preserve">($19.50)</w:t>
            </w:r>
            <w:r>
              <w:rPr>
                <w:lang w:val="en-US"/>
              </w:rPr>
              <w:t xml:space="preserve"> </w:t>
            </w:r>
            <w:r>
              <w:rPr>
                <w:lang w:val="en-US"/>
              </w:rPr>
              <w:t xml:space="preserve">+</w:t>
            </w:r>
            <w:r>
              <w:rPr>
                <w:lang w:val="en-US"/>
              </w:rPr>
              <w:t xml:space="preserve"> </w:t>
            </w:r>
            <w:r>
              <w:rPr>
                <w:b/>
                <w:bCs/>
                <w:lang w:val="en-US"/>
              </w:rPr>
              <w:t xml:space="preserve">CHEM&amp;131 Lab Manual</w:t>
            </w:r>
            <w:r>
              <w:rPr>
                <w:lang w:val="en-US"/>
              </w:rPr>
              <w:t xml:space="preserve"> </w:t>
            </w:r>
            <w:r>
              <w:rPr>
                <w:i/>
                <w:iCs/>
                <w:lang w:val="en-US"/>
              </w:rPr>
              <w:t xml:space="preserve">(~$16.70)</w:t>
            </w:r>
            <w:r>
              <w:rPr>
                <w:lang w:val="en-US"/>
              </w:rPr>
              <w:t xml:space="preserve"> </w:t>
            </w:r>
            <w:r>
              <w:rPr>
                <w:lang w:val="en-US"/>
              </w:rPr>
              <w:t xml:space="preserve">(Clark Bookstore) + ALEKS (paid through your course registration).</w:t>
            </w:r>
          </w:p>
        </w:tc>
      </w:tr>
      <w:tr>
        <w:trPr>
          <w:cantSplit/>
        </w:trPr>
        <w:tc>
          <w:tcPr/>
          <w:p>
            <w:pPr>
              <w:pStyle w:val="Compact"/>
            </w:pPr>
            <w:r>
              <w:rPr>
                <w:b/>
                <w:bCs/>
                <w:lang w:val="en-US"/>
              </w:rPr>
              <w:t xml:space="preserve">When things are due</w:t>
            </w:r>
          </w:p>
        </w:tc>
        <w:tc>
          <w:tcPr/>
          <w:p>
            <w:pPr>
              <w:pStyle w:val="Compact"/>
            </w:pPr>
            <w:r>
              <w:rPr>
                <w:lang w:val="en-US"/>
              </w:rPr>
              <w:t xml:space="preserve">Wednesday through Sunday each carry something — see Weekly Flow below for the exact rhythm. Once you learn it, it repeats every module.</w:t>
            </w:r>
          </w:p>
        </w:tc>
      </w:tr>
      <w:tr>
        <w:trPr>
          <w:cantSplit/>
        </w:trPr>
        <w:tc>
          <w:tcPr/>
          <w:p>
            <w:pPr>
              <w:pStyle w:val="Compact"/>
            </w:pPr>
            <w:r>
              <w:rPr>
                <w:b/>
                <w:bCs/>
                <w:lang w:val="en-US"/>
              </w:rPr>
              <w:t xml:space="preserve">Time to budget</w:t>
            </w:r>
          </w:p>
        </w:tc>
        <w:tc>
          <w:tcPr/>
          <w:p>
            <w:pPr>
              <w:pStyle w:val="Compact"/>
            </w:pPr>
            <w:r>
              <w:rPr>
                <w:lang w:val="en-US"/>
              </w:rPr>
              <w:t xml:space="preserve">About 10–12 hours a week — most of it on Canvas, plus your 4-hour on-campus lab.</w:t>
            </w:r>
          </w:p>
        </w:tc>
      </w:tr>
      <w:tr>
        <w:trPr>
          <w:cantSplit/>
        </w:trPr>
        <w:tc>
          <w:tcPr/>
          <w:p>
            <w:pPr>
              <w:pStyle w:val="Compact"/>
            </w:pPr>
            <w:r>
              <w:rPr>
                <w:b/>
                <w:bCs/>
                <w:lang w:val="en-US"/>
              </w:rPr>
              <w:t xml:space="preserve">How to reach me</w:t>
            </w:r>
          </w:p>
        </w:tc>
        <w:tc>
          <w:tcPr/>
          <w:p>
            <w:pPr>
              <w:pStyle w:val="Compact"/>
            </w:pPr>
            <w:r>
              <w:rPr>
                <w:lang w:val="en-US"/>
              </w:rPr>
              <w:t xml:space="preserve">Canvas Inbox only — I don’t use email during the term. I reply within 24 hours on weekdays.</w:t>
            </w:r>
          </w:p>
        </w:tc>
      </w:tr>
      <w:tr>
        <w:trPr>
          <w:cantSplit/>
        </w:trPr>
        <w:tc>
          <w:tcPr/>
          <w:p>
            <w:pPr>
              <w:pStyle w:val="Compact"/>
            </w:pPr>
            <w:r>
              <w:rPr>
                <w:b/>
                <w:bCs/>
                <w:lang w:val="en-US"/>
              </w:rPr>
              <w:t xml:space="preserve">The two big ones</w:t>
            </w:r>
          </w:p>
        </w:tc>
        <w:tc>
          <w:tcPr/>
          <w:p>
            <w:pPr>
              <w:pStyle w:val="Compact"/>
            </w:pPr>
            <w:r>
              <w:rPr>
                <w:lang w:val="en-US"/>
              </w:rPr>
              <w:t xml:space="preserve">Weekly lab attendance (required every week — see About the Lab Requirement for how a missed lab is handled) and the Final TYC (Teach Your Community) Project — 10% of your grade, in place of a final exam.</w:t>
            </w:r>
          </w:p>
        </w:tc>
      </w:tr>
      <w:tr>
        <w:trPr>
          <w:cantSplit/>
        </w:trPr>
        <w:tc>
          <w:tcPr/>
          <w:p>
            <w:pPr>
              <w:pStyle w:val="Compact"/>
            </w:pPr>
            <w:r>
              <w:rPr>
                <w:b/>
                <w:bCs/>
                <w:lang w:val="en-US"/>
              </w:rPr>
              <w:t xml:space="preserve">The AI rule</w:t>
            </w:r>
          </w:p>
        </w:tc>
        <w:tc>
          <w:tcPr/>
          <w:p>
            <w:pPr>
              <w:pStyle w:val="Compact"/>
            </w:pPr>
            <w:r>
              <w:rPr>
                <w:lang w:val="en-US"/>
              </w:rPr>
              <w:t xml:space="preserve">No AI-generated content in anything you submit — ever, no exceptions. See the AI Agreement below for the full policy.</w:t>
            </w:r>
          </w:p>
        </w:tc>
      </w:tr>
      <w:tr>
        <w:trPr>
          <w:cantSplit/>
        </w:trPr>
        <w:tc>
          <w:tcPr/>
          <w:p>
            <w:pPr>
              <w:pStyle w:val="Compact"/>
            </w:pPr>
            <w:r>
              <w:rPr>
                <w:b/>
                <w:bCs/>
                <w:lang w:val="en-US"/>
              </w:rPr>
              <w:t xml:space="preserve">If you fall behind</w:t>
            </w:r>
          </w:p>
        </w:tc>
        <w:tc>
          <w:tcPr/>
          <w:p>
            <w:pPr>
              <w:pStyle w:val="Compact"/>
            </w:pPr>
            <w:r>
              <w:rPr>
                <w:lang w:val="en-US"/>
              </w:rP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lang w:val="en-US"/>
        </w:rPr>
        <w:t xml:space="preserve">Your grade in one line:</w:t>
      </w:r>
      <w:r>
        <w:rPr>
          <w:lang w:val="en-US"/>
        </w:rPr>
        <w:t xml:space="preserve"> </w:t>
      </w:r>
      <w:r>
        <w:rPr>
          <w:lang w:val="en-US"/>
        </w:rPr>
        <w:t xml:space="preserve">3-2-1 Team Posts 15% · OOL Discussions 15% · Lab Experiments 25% · Quizzes 20% · ALEKS Problem Sets 15% · Final TYC Project 10%.</w:t>
      </w:r>
    </w:p>
    <w:bookmarkStart w:id="10" w:name="course-terms-youll-see"/>
    <w:p>
      <w:pPr>
        <w:pStyle w:val="Heading2"/>
      </w:pPr>
      <w:r>
        <w:rPr>
          <w:lang w:val="en-US"/>
        </w:rPr>
        <w:t xml:space="preserve">Course Terms You’ll See</w:t>
      </w:r>
    </w:p>
    <w:p>
      <w:pPr>
        <w:pStyle w:val="FirstParagraph"/>
      </w:pPr>
      <w:r>
        <w:rPr>
          <w:lang w:val="en-US"/>
        </w:rP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Term</w:t>
            </w:r>
          </w:p>
        </w:tc>
        <w:tc>
          <w:tcPr/>
          <w:p>
            <w:pPr>
              <w:pStyle w:val="Compact"/>
            </w:pPr>
            <w:r>
              <w:rPr>
                <w:lang w:val="en-US"/>
              </w:rPr>
              <w:t xml:space="preserve">What it means</w:t>
            </w:r>
          </w:p>
        </w:tc>
      </w:tr>
      <w:tr>
        <w:trPr>
          <w:cantSplit/>
        </w:trPr>
        <w:tc>
          <w:tcPr/>
          <w:p>
            <w:pPr>
              <w:pStyle w:val="Compact"/>
            </w:pPr>
            <w:r>
              <w:rPr>
                <w:lang w:val="en-US"/>
              </w:rPr>
              <w:t xml:space="preserve">3-2-1</w:t>
            </w:r>
          </w:p>
        </w:tc>
        <w:tc>
          <w:tcPr/>
          <w:p>
            <w:pPr>
              <w:pStyle w:val="Compact"/>
            </w:pPr>
            <w:r>
              <w:rPr>
                <w:lang w:val="en-US"/>
              </w:rPr>
              <w:t xml:space="preserve">Your weekly Team Discussion format — named for its posting structure (three problem areas, two areas of interest, one insight from the video key).</w:t>
            </w:r>
          </w:p>
        </w:tc>
      </w:tr>
      <w:tr>
        <w:trPr>
          <w:cantSplit/>
        </w:trPr>
        <w:tc>
          <w:tcPr/>
          <w:p>
            <w:pPr>
              <w:pStyle w:val="Compact"/>
            </w:pPr>
            <w:r>
              <w:rPr>
                <w:lang w:val="en-US"/>
              </w:rPr>
              <w:t xml:space="preserve">OOL</w:t>
            </w:r>
          </w:p>
        </w:tc>
        <w:tc>
          <w:tcPr/>
          <w:p>
            <w:pPr>
              <w:pStyle w:val="Compact"/>
            </w:pPr>
            <w:r>
              <w:rPr>
                <w:lang w:val="en-US"/>
              </w:rPr>
              <w:t xml:space="preserve">Outside Of Lecture — a separate weekly class discussion, not the 3-2-1.</w:t>
            </w:r>
          </w:p>
        </w:tc>
      </w:tr>
      <w:tr>
        <w:trPr>
          <w:cantSplit/>
        </w:trPr>
        <w:tc>
          <w:tcPr/>
          <w:p>
            <w:pPr>
              <w:pStyle w:val="Compact"/>
            </w:pPr>
            <w:r>
              <w:rPr>
                <w:lang w:val="en-US"/>
              </w:rPr>
              <w:t xml:space="preserve">TYC</w:t>
            </w:r>
          </w:p>
        </w:tc>
        <w:tc>
          <w:tcPr/>
          <w:p>
            <w:pPr>
              <w:pStyle w:val="Compact"/>
            </w:pPr>
            <w:r>
              <w:rPr>
                <w:lang w:val="en-US"/>
              </w:rPr>
              <w:t xml:space="preserve">Teach Your Community — your Final Project, replacing a final exam.</w:t>
            </w:r>
          </w:p>
        </w:tc>
      </w:tr>
      <w:tr>
        <w:trPr>
          <w:cantSplit/>
        </w:trPr>
        <w:tc>
          <w:tcPr/>
          <w:p>
            <w:pPr>
              <w:pStyle w:val="Compact"/>
            </w:pPr>
            <w:r>
              <w:rPr>
                <w:lang w:val="en-US"/>
              </w:rPr>
              <w:t xml:space="preserve">ALEKS</w:t>
            </w:r>
          </w:p>
        </w:tc>
        <w:tc>
          <w:tcPr/>
          <w:p>
            <w:pPr>
              <w:pStyle w:val="Compact"/>
            </w:pPr>
            <w:r>
              <w:rPr>
                <w:lang w:val="en-US"/>
              </w:rPr>
              <w:t xml:space="preserve">Your online adaptive homework and textbook-access platform.</w:t>
            </w:r>
          </w:p>
        </w:tc>
      </w:tr>
      <w:tr>
        <w:trPr>
          <w:cantSplit/>
        </w:trPr>
        <w:tc>
          <w:tcPr/>
          <w:p>
            <w:pPr>
              <w:pStyle w:val="Compact"/>
            </w:pPr>
            <w:r>
              <w:rPr>
                <w:lang w:val="en-US"/>
              </w:rPr>
              <w:t xml:space="preserve">DAC</w:t>
            </w:r>
          </w:p>
        </w:tc>
        <w:tc>
          <w:tcPr/>
          <w:p>
            <w:pPr>
              <w:pStyle w:val="Compact"/>
            </w:pPr>
            <w:r>
              <w:rPr>
                <w:lang w:val="en-US"/>
              </w:rPr>
              <w:t xml:space="preserve">Disability Access Center — Clark’s office for accommodations.</w:t>
            </w:r>
          </w:p>
        </w:tc>
      </w:tr>
      <w:tr>
        <w:trPr>
          <w:cantSplit/>
        </w:trPr>
        <w:tc>
          <w:tcPr/>
          <w:p>
            <w:pPr>
              <w:pStyle w:val="Compact"/>
            </w:pPr>
            <w:r>
              <w:rPr>
                <w:lang w:val="en-US"/>
              </w:rPr>
              <w:t xml:space="preserve">Chemfolio</w:t>
            </w:r>
          </w:p>
        </w:tc>
        <w:tc>
          <w:tcPr/>
          <w:p>
            <w:pPr>
              <w:pStyle w:val="Compact"/>
            </w:pPr>
            <w:r>
              <w:rPr>
                <w:lang w:val="en-US"/>
              </w:rPr>
              <w:t xml:space="preserve">Your required lecture/discussion workbook — you buy this!</w:t>
            </w:r>
          </w:p>
        </w:tc>
      </w:tr>
      <w:tr>
        <w:trPr>
          <w:cantSplit/>
        </w:trPr>
        <w:tc>
          <w:tcPr/>
          <w:p>
            <w:pPr>
              <w:pStyle w:val="Compact"/>
            </w:pPr>
            <w:r>
              <w:rPr>
                <w:lang w:val="en-US"/>
              </w:rPr>
              <w:t xml:space="preserve">TL;DR</w:t>
            </w:r>
          </w:p>
        </w:tc>
        <w:tc>
          <w:tcPr/>
          <w:p>
            <w:pPr>
              <w:pStyle w:val="Compact"/>
            </w:pPr>
            <w:r>
              <w:rPr>
                <w:lang w:val="en-US"/>
              </w:rPr>
              <w:t xml:space="preserve">“Too long; didn’t read”</w:t>
            </w:r>
            <w:r>
              <w:rPr>
                <w:lang w:val="en-US"/>
              </w:rPr>
              <w:t xml:space="preserve"> </w:t>
            </w:r>
            <w:r>
              <w:rPr>
                <w:lang w:val="en-US"/>
              </w:rPr>
              <w:t xml:space="preserve">— a quick plain-language summary. Wherever you see TL;DR, that line tells you the gist before the official/detailed text below it.</w:t>
            </w:r>
          </w:p>
        </w:tc>
      </w:tr>
    </w:tbl>
    <w:bookmarkEnd w:id="10"/>
    <w:bookmarkStart w:id="11" w:name="your-first-week"/>
    <w:p>
      <w:pPr>
        <w:pStyle w:val="Heading2"/>
      </w:pPr>
      <w:r>
        <w:rPr>
          <w:lang w:val="en-US"/>
        </w:rPr>
        <w:t xml:space="preserve">Your First Week</w:t>
      </w:r>
    </w:p>
    <w:p>
      <w:pPr>
        <w:pStyle w:val="Compact"/>
        <w:numPr>
          <w:ilvl w:val="0"/>
          <w:numId w:val="1001"/>
        </w:numPr>
      </w:pPr>
      <w:r>
        <w:rPr>
          <w:lang w:val="en-US"/>
        </w:rPr>
        <w:t xml:space="preserve">Attend your scheduled lab session. Missing it means being dropped from the course.</w:t>
      </w:r>
    </w:p>
    <w:p>
      <w:pPr>
        <w:pStyle w:val="Compact"/>
        <w:numPr>
          <w:ilvl w:val="0"/>
          <w:numId w:val="1001"/>
        </w:numPr>
      </w:pPr>
      <w:r>
        <w:rPr>
          <w:lang w:val="en-US"/>
        </w:rPr>
        <w:t xml:space="preserve">Log into Canvas and read the announcements at the top of the course.</w:t>
      </w:r>
    </w:p>
    <w:p>
      <w:pPr>
        <w:pStyle w:val="Compact"/>
        <w:numPr>
          <w:ilvl w:val="0"/>
          <w:numId w:val="1001"/>
        </w:numPr>
      </w:pPr>
      <w:r>
        <w:rPr>
          <w:lang w:val="en-US"/>
        </w:rPr>
        <w:t xml:space="preserve">Work through Getting Started: Course Orientation, including the ALEKS/Office/OneDrive setup guide — both need to be done by the end of your first lab, so budget the time.</w:t>
      </w:r>
    </w:p>
    <w:p>
      <w:pPr>
        <w:pStyle w:val="Compact"/>
        <w:numPr>
          <w:ilvl w:val="0"/>
          <w:numId w:val="1001"/>
        </w:numPr>
      </w:pPr>
      <w:r>
        <w:rPr>
          <w:lang w:val="en-US"/>
        </w:rPr>
        <w:t xml:space="preserve">Read this syllabus, especially the Start Here box and the Course Agreements section.</w:t>
      </w:r>
    </w:p>
    <w:p>
      <w:pPr>
        <w:pStyle w:val="Compact"/>
        <w:numPr>
          <w:ilvl w:val="0"/>
          <w:numId w:val="1001"/>
        </w:numPr>
      </w:pPr>
      <w:r>
        <w:rPr>
          <w:lang w:val="en-US"/>
        </w:rP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rPr>
          <w:lang w:val="en-US"/>
        </w:rP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Course Title</w:t>
            </w:r>
          </w:p>
        </w:tc>
        <w:tc>
          <w:tcPr/>
          <w:p>
            <w:pPr>
              <w:pStyle w:val="Compact"/>
            </w:pPr>
            <w:r>
              <w:rPr>
                <w:lang w:val="en-US"/>
              </w:rPr>
              <w:t xml:space="preserve">CHEM&amp;131: Introduction to Organic and Biochemistry</w:t>
            </w:r>
          </w:p>
        </w:tc>
      </w:tr>
      <w:tr>
        <w:trPr>
          <w:cantSplit/>
        </w:trPr>
        <w:tc>
          <w:tcPr/>
          <w:p>
            <w:pPr>
              <w:pStyle w:val="Compact"/>
            </w:pPr>
            <w:r>
              <w:rPr>
                <w:b/>
                <w:bCs/>
                <w:lang w:val="en-US"/>
              </w:rPr>
              <w:t xml:space="preserve">Course Nbr/Sec</w:t>
            </w:r>
          </w:p>
        </w:tc>
        <w:tc>
          <w:tcPr/>
          <w:p>
            <w:pPr>
              <w:pStyle w:val="Compact"/>
            </w:pPr>
            <w:r>
              <w:rPr>
                <w:lang w:val="en-US"/>
              </w:rPr>
              <w:t xml:space="preserve">18411/18412</w:t>
            </w:r>
          </w:p>
        </w:tc>
      </w:tr>
      <w:tr>
        <w:trPr>
          <w:cantSplit/>
        </w:trPr>
        <w:tc>
          <w:tcPr/>
          <w:p>
            <w:pPr>
              <w:pStyle w:val="Compact"/>
            </w:pPr>
            <w:r>
              <w:rPr>
                <w:b/>
                <w:bCs/>
                <w:lang w:val="en-US"/>
              </w:rPr>
              <w:t xml:space="preserve">Quarter/Year</w:t>
            </w:r>
          </w:p>
        </w:tc>
        <w:tc>
          <w:tcPr/>
          <w:p>
            <w:pPr>
              <w:pStyle w:val="Compact"/>
            </w:pPr>
            <w:r>
              <w:rPr>
                <w:lang w:val="en-US"/>
              </w:rPr>
              <w:t xml:space="preserve">Fall 2026 (September 21 – December 10, 2026)</w:t>
            </w:r>
          </w:p>
        </w:tc>
      </w:tr>
      <w:tr>
        <w:trPr>
          <w:cantSplit/>
        </w:trPr>
        <w:tc>
          <w:tcPr/>
          <w:p>
            <w:pPr>
              <w:pStyle w:val="Compact"/>
            </w:pPr>
            <w:r>
              <w:rPr>
                <w:b/>
                <w:bCs/>
                <w:lang w:val="en-US"/>
              </w:rPr>
              <w:t xml:space="preserve">Location/Time</w:t>
            </w:r>
          </w:p>
        </w:tc>
        <w:tc>
          <w:tcPr/>
          <w:p>
            <w:pPr>
              <w:pStyle w:val="Compact"/>
            </w:pPr>
            <w:r>
              <w:rPr>
                <w:lang w:val="en-US"/>
              </w:rPr>
              <w:t xml:space="preserve">Lab: STEM Building 209, Tu/Th 2:00–3:50 PM (18411). Lecture/discussion: online, asynchronous.</w:t>
            </w:r>
          </w:p>
        </w:tc>
      </w:tr>
      <w:tr>
        <w:trPr>
          <w:cantSplit/>
        </w:trPr>
        <w:tc>
          <w:tcPr/>
          <w:p>
            <w:pPr>
              <w:pStyle w:val="Compact"/>
            </w:pPr>
            <w:r>
              <w:rPr>
                <w:b/>
                <w:bCs/>
                <w:lang w:val="en-US"/>
              </w:rPr>
              <w:t xml:space="preserve">Course Site</w:t>
            </w:r>
          </w:p>
        </w:tc>
        <w:tc>
          <w:tcPr/>
          <w:p>
            <w:pPr>
              <w:pStyle w:val="Compact"/>
            </w:pPr>
            <w:hyperlink r:id="rId13">
              <w:r>
                <w:rPr>
                  <w:rStyle w:val="Hyperlink"/>
                  <w:lang w:val="en-US"/>
                </w:rPr>
                <w:t xml:space="preserve">Canvas Learning Management System</w:t>
              </w:r>
            </w:hyperlink>
          </w:p>
        </w:tc>
      </w:tr>
      <w:tr>
        <w:trPr>
          <w:cantSplit/>
        </w:trPr>
        <w:tc>
          <w:tcPr/>
          <w:p>
            <w:pPr>
              <w:pStyle w:val="Compact"/>
            </w:pPr>
            <w:r>
              <w:rPr>
                <w:b/>
                <w:bCs/>
                <w:lang w:val="en-US"/>
              </w:rPr>
              <w:t xml:space="preserve">Course Modality</w:t>
            </w:r>
          </w:p>
        </w:tc>
        <w:tc>
          <w:tcPr/>
          <w:p>
            <w:pPr>
              <w:pStyle w:val="Compact"/>
            </w:pPr>
            <w:r>
              <w:rPr>
                <w:lang w:val="en-US"/>
              </w:rPr>
              <w:t xml:space="preserve">Hybrid — asynchronous online lecture/discussion + twice-weekly on-campus lab</w:t>
            </w:r>
          </w:p>
        </w:tc>
      </w:tr>
      <w:tr>
        <w:trPr>
          <w:cantSplit/>
        </w:trPr>
        <w:tc>
          <w:tcPr/>
          <w:p>
            <w:pPr>
              <w:pStyle w:val="Compact"/>
            </w:pPr>
            <w:r>
              <w:rPr>
                <w:b/>
                <w:bCs/>
                <w:lang w:val="en-US"/>
              </w:rPr>
              <w:t xml:space="preserve">Credit Hours</w:t>
            </w:r>
          </w:p>
        </w:tc>
        <w:tc>
          <w:tcPr/>
          <w:p>
            <w:pPr>
              <w:pStyle w:val="Compact"/>
            </w:pPr>
            <w:r>
              <w:rPr>
                <w:lang w:val="en-US"/>
              </w:rPr>
              <w:t xml:space="preserve">5 credits (3.0 hours lecture-equivalent / 4.0 hours lab)</w:t>
            </w:r>
          </w:p>
        </w:tc>
      </w:tr>
      <w:tr>
        <w:trPr>
          <w:cantSplit/>
        </w:trPr>
        <w:tc>
          <w:tcPr/>
          <w:p>
            <w:pPr>
              <w:pStyle w:val="Compact"/>
            </w:pPr>
            <w:r>
              <w:rPr>
                <w:b/>
                <w:bCs/>
                <w:lang w:val="en-US"/>
              </w:rPr>
              <w:t xml:space="preserve">Prerequisites</w:t>
            </w:r>
          </w:p>
        </w:tc>
        <w:tc>
          <w:tcPr/>
          <w:p>
            <w:pPr>
              <w:pStyle w:val="Compact"/>
            </w:pPr>
            <w:r>
              <w:rPr>
                <w:lang w:val="en-US"/>
              </w:rPr>
              <w:t xml:space="preserve">CHEM&amp;121 (grade of</w:t>
            </w:r>
            <w:r>
              <w:rPr>
                <w:lang w:val="en-US"/>
              </w:rPr>
              <w:t xml:space="preserve"> </w:t>
            </w:r>
            <w:r>
              <w:rPr>
                <w:lang w:val="en-US"/>
              </w:rPr>
              <w:t xml:space="preserve">“C”</w:t>
            </w:r>
            <w:r>
              <w:rPr>
                <w:lang w:val="en-US"/>
              </w:rPr>
              <w:t xml:space="preserve"> </w:t>
            </w:r>
            <w:r>
              <w:rPr>
                <w:lang w:val="en-US"/>
              </w:rPr>
              <w:t xml:space="preserve">or higher).</w:t>
            </w:r>
          </w:p>
        </w:tc>
      </w:tr>
      <w:tr>
        <w:trPr>
          <w:cantSplit/>
        </w:trPr>
        <w:tc>
          <w:tcPr/>
          <w:p>
            <w:pPr>
              <w:pStyle w:val="Compact"/>
            </w:pPr>
            <w:r>
              <w:rPr>
                <w:b/>
                <w:bCs/>
                <w:lang w:val="en-US"/>
              </w:rPr>
              <w:t xml:space="preserve">Course Description</w:t>
            </w:r>
          </w:p>
        </w:tc>
        <w:tc>
          <w:tcPr/>
          <w:p>
            <w:pPr>
              <w:pStyle w:val="BodyText"/>
            </w:pPr>
            <w:r>
              <w:rPr>
                <w:b/>
                <w:bCs/>
                <w:lang w:val="en-US"/>
              </w:rPr>
              <w:t xml:space="preserve">What</w:t>
            </w:r>
            <w:r>
              <w:rPr>
                <w:b/>
                <w:bCs/>
                <w:lang w:val="en-US"/>
              </w:rPr>
              <w:t xml:space="preserve"> </w:t>
            </w:r>
            <w:hyperlink r:id="rId14">
              <w:r>
                <w:rPr>
                  <w:rStyle w:val="Hyperlink"/>
                  <w:b/>
                  <w:bCs/>
                  <w:lang w:val="en-US"/>
                </w:rPr>
                <w:t xml:space="preserve">Clark’s Course Catalog</w:t>
              </w:r>
            </w:hyperlink>
            <w:r>
              <w:rPr>
                <w:b/>
                <w:bCs/>
                <w:lang w:val="en-US"/>
              </w:rPr>
              <w:t xml:space="preserve"> </w:t>
            </w:r>
            <w:r>
              <w:rPr>
                <w:b/>
                <w:bCs/>
                <w:lang w:val="en-US"/>
              </w:rPr>
              <w:t xml:space="preserve">says:</w:t>
            </w:r>
            <w:r>
              <w:rPr>
                <w:lang w:val="en-US"/>
              </w:rPr>
              <w:t xml:space="preserve"> </w:t>
            </w:r>
            <w:r>
              <w:rPr>
                <w:lang w:val="en-US"/>
              </w:rP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p>
          <w:p>
            <w:pPr>
              <w:pStyle w:val="BodyText"/>
            </w:pPr>
            <w:r>
              <w:rPr>
                <w:b/>
                <w:bCs/>
                <w:lang w:val="en-US"/>
              </w:rPr>
              <w:t xml:space="preserve">What that means in practice:</w:t>
            </w:r>
            <w:r>
              <w:rPr>
                <w:lang w:val="en-US"/>
              </w:rPr>
              <w:t xml:space="preserve"> </w:t>
            </w:r>
            <w:r>
              <w:rPr>
                <w:lang w:val="en-US"/>
              </w:rP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rPr>
          <w:lang w:val="en-US"/>
        </w:rPr>
        <w:t xml:space="preserve">Welcome to Class!</w:t>
      </w:r>
    </w:p>
    <w:p>
      <w:pPr>
        <w:pStyle w:val="FirstParagraph"/>
      </w:pPr>
      <w:r>
        <w:rPr>
          <w:i/>
          <w:iCs/>
          <w:lang w:val="en-US"/>
        </w:rPr>
        <w:t xml:space="preserve">TL;DR: Hybrid means lectures online, labs on campus. Weekly TEAM discussions and lab two days per week. Show up, stay engaged, and ask for help before you’re stuck.</w:t>
      </w:r>
    </w:p>
    <w:p>
      <w:pPr>
        <w:pStyle w:val="BodyText"/>
      </w:pPr>
      <w:r>
        <w:rPr>
          <w:lang w:val="en-US"/>
        </w:rPr>
        <w:t xml:space="preserve">Welcome, welcome, welcome! I’m Dr. B (Dr. Karl Bailey, he/him), and I’m glad to have you in CHEM&amp;131 this term. Wherever your last CHEM class was, I’m glad you’re here. Let’s get into how this class will work for you!</w:t>
      </w:r>
    </w:p>
    <w:p>
      <w:pPr>
        <w:pStyle w:val="Callout"/>
      </w:pPr>
      <w:r>
        <w:rPr>
          <w:b/>
          <w:bCs/>
          <w:lang w:val="en-US"/>
        </w:rPr>
        <w:t xml:space="preserve">Dr. B’s Note:</w:t>
      </w:r>
      <w:r>
        <w:rPr>
          <w:lang w:val="en-US"/>
        </w:rPr>
        <w:t xml:space="preserve"> </w:t>
      </w:r>
      <w:r>
        <w:rPr>
          <w:i/>
          <w:iCs/>
          <w:lang w:val="en-U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rPr>
          <w:lang w:val="en-US"/>
        </w:rPr>
        <w:t xml:space="preserve">What preparation/skills do I need for this class?</w:t>
      </w:r>
    </w:p>
    <w:p>
      <w:pPr>
        <w:pStyle w:val="FirstParagraph"/>
      </w:pPr>
      <w:r>
        <w:rPr>
          <w:lang w:val="en-US"/>
        </w:rP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rPr>
          <w:lang w:val="en-US"/>
        </w:rPr>
        <w:t xml:space="preserve">What can I expect in class?</w:t>
      </w:r>
    </w:p>
    <w:p>
      <w:pPr>
        <w:pStyle w:val="FirstParagraph"/>
      </w:pPr>
      <w:r>
        <w:rPr>
          <w:lang w:val="en-US"/>
        </w:rP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Callout"/>
      </w:pPr>
      <w:r>
        <w:rPr>
          <w:b/>
          <w:bCs/>
          <w:lang w:val="en-US"/>
        </w:rPr>
        <w:t xml:space="preserve">Dr. B’s Note:</w:t>
      </w:r>
      <w:r>
        <w:rPr>
          <w:lang w:val="en-US"/>
        </w:rPr>
        <w:t xml:space="preserve"> </w:t>
      </w:r>
      <w:r>
        <w:rPr>
          <w:i/>
          <w:iCs/>
          <w:lang w:val="en-U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rPr>
          <w:lang w:val="en-US"/>
        </w:rPr>
        <w:t xml:space="preserve">What if I need an accommodation?</w:t>
      </w:r>
    </w:p>
    <w:p>
      <w:pPr>
        <w:pStyle w:val="FirstParagraph"/>
      </w:pPr>
      <w:r>
        <w:rPr>
          <w:lang w:val="en-US"/>
        </w:rP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rPr>
          <w:lang w:val="en-US"/>
        </w:rPr>
        <w:t xml:space="preserve"> </w:t>
      </w:r>
      <w:hyperlink r:id="rId18">
        <w:r>
          <w:rPr>
            <w:rStyle w:val="Hyperlink"/>
            <w:lang w:val="en-US"/>
          </w:rPr>
          <w:t xml:space="preserve">viewing the steps for requesting accommodations</w:t>
        </w:r>
      </w:hyperlink>
      <w:r>
        <w:rPr>
          <w:lang w:val="en-US"/>
        </w:rPr>
        <w:t xml:space="preserve">.</w:t>
      </w:r>
    </w:p>
    <w:bookmarkEnd w:id="19"/>
    <w:bookmarkStart w:id="20" w:name="weekly-flow"/>
    <w:p>
      <w:pPr>
        <w:pStyle w:val="Heading2"/>
      </w:pPr>
      <w:r>
        <w:rPr>
          <w:lang w:val="en-US"/>
        </w:rPr>
        <w:t xml:space="preserve">Weekly Flow</w:t>
      </w:r>
    </w:p>
    <w:p>
      <w:pPr>
        <w:pStyle w:val="FirstParagraph"/>
      </w:pPr>
      <w:r>
        <w:rPr>
          <w:i/>
          <w:iCs/>
          <w:lang w:val="en-US"/>
        </w:rPr>
        <w:t xml:space="preserve">TL;DR: Something is due nearly every day, Wednesday through Sunday — same pattern every week once you learn it.</w:t>
      </w:r>
    </w:p>
    <w:p>
      <w:pPr>
        <w:pStyle w:val="BodyText"/>
      </w:pPr>
      <w:r>
        <w:rPr>
          <w:lang w:val="en-US"/>
        </w:rP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Day</w:t>
            </w:r>
          </w:p>
        </w:tc>
        <w:tc>
          <w:tcPr/>
          <w:p>
            <w:pPr>
              <w:pStyle w:val="Compact"/>
            </w:pPr>
            <w:r>
              <w:rPr>
                <w:lang w:val="en-US"/>
              </w:rPr>
              <w:t xml:space="preserve">What’s due</w:t>
            </w:r>
          </w:p>
        </w:tc>
      </w:tr>
      <w:tr>
        <w:trPr>
          <w:cantSplit/>
        </w:trPr>
        <w:tc>
          <w:tcPr/>
          <w:p>
            <w:pPr>
              <w:pStyle w:val="Compact"/>
            </w:pPr>
            <w:r>
              <w:rPr>
                <w:lang w:val="en-US"/>
              </w:rPr>
              <w:t xml:space="preserve">Monday</w:t>
            </w:r>
          </w:p>
        </w:tc>
        <w:tc>
          <w:tcPr/>
          <w:p>
            <w:pPr>
              <w:pStyle w:val="Compact"/>
            </w:pPr>
            <w:r>
              <w:rPr>
                <w:lang w:val="en-US"/>
              </w:rPr>
              <w:t xml:space="preserve">New module opens</w:t>
            </w:r>
          </w:p>
        </w:tc>
      </w:tr>
      <w:tr>
        <w:trPr>
          <w:cantSplit/>
        </w:trPr>
        <w:tc>
          <w:tcPr/>
          <w:p>
            <w:pPr>
              <w:pStyle w:val="Compact"/>
            </w:pPr>
            <w:r>
              <w:rPr>
                <w:lang w:val="en-US"/>
              </w:rPr>
              <w:t xml:space="preserve">Wednesday</w:t>
            </w:r>
          </w:p>
        </w:tc>
        <w:tc>
          <w:tcPr/>
          <w:p>
            <w:pPr>
              <w:pStyle w:val="Compact"/>
            </w:pPr>
            <w:r>
              <w:rPr>
                <w:lang w:val="en-US"/>
              </w:rPr>
              <w:t xml:space="preserve">3-2-1 Team post + upload due; OOL discussion post due; Lab Results (20 pts) due</w:t>
            </w:r>
          </w:p>
        </w:tc>
      </w:tr>
      <w:tr>
        <w:trPr>
          <w:cantSplit/>
        </w:trPr>
        <w:tc>
          <w:tcPr/>
          <w:p>
            <w:pPr>
              <w:pStyle w:val="Compact"/>
            </w:pPr>
            <w:r>
              <w:rPr>
                <w:lang w:val="en-US"/>
              </w:rPr>
              <w:t xml:space="preserve">Thursday</w:t>
            </w:r>
          </w:p>
        </w:tc>
        <w:tc>
          <w:tcPr/>
          <w:p>
            <w:pPr>
              <w:pStyle w:val="Compact"/>
            </w:pPr>
            <w:r>
              <w:rPr>
                <w:lang w:val="en-US"/>
              </w:rPr>
              <w:t xml:space="preserve">3-2-1 Team Lead Summary post due (Team Lead only, that week)</w:t>
            </w:r>
          </w:p>
        </w:tc>
      </w:tr>
      <w:tr>
        <w:trPr>
          <w:cantSplit/>
        </w:trPr>
        <w:tc>
          <w:tcPr/>
          <w:p>
            <w:pPr>
              <w:pStyle w:val="Compact"/>
            </w:pPr>
            <w:r>
              <w:rPr>
                <w:lang w:val="en-US"/>
              </w:rPr>
              <w:t xml:space="preserve">Friday</w:t>
            </w:r>
          </w:p>
        </w:tc>
        <w:tc>
          <w:tcPr/>
          <w:p>
            <w:pPr>
              <w:pStyle w:val="Compact"/>
            </w:pPr>
            <w:r>
              <w:rPr>
                <w:lang w:val="en-US"/>
              </w:rPr>
              <w:t xml:space="preserve">OOL replies due; Lab Findings (10 pts) and Conclusions (20 pts) due</w:t>
            </w:r>
          </w:p>
        </w:tc>
      </w:tr>
      <w:tr>
        <w:trPr>
          <w:cantSplit/>
        </w:trPr>
        <w:tc>
          <w:tcPr/>
          <w:p>
            <w:pPr>
              <w:pStyle w:val="Compact"/>
            </w:pPr>
            <w:r>
              <w:rPr>
                <w:lang w:val="en-US"/>
              </w:rPr>
              <w:t xml:space="preserve">Sunday</w:t>
            </w:r>
          </w:p>
        </w:tc>
        <w:tc>
          <w:tcPr/>
          <w:p>
            <w:pPr>
              <w:pStyle w:val="Compact"/>
            </w:pPr>
            <w:r>
              <w:rPr>
                <w:lang w:val="en-US"/>
              </w:rPr>
              <w:t xml:space="preserve">3-2-1 Team post + replies to all 3 teammates + upload due; ALEKS homework due; Lab Background (10 pts) and Methods (40 pts) due</w:t>
            </w:r>
          </w:p>
        </w:tc>
      </w:tr>
    </w:tbl>
    <w:p>
      <w:pPr>
        <w:pStyle w:val="BodyText"/>
      </w:pPr>
      <w:r>
        <w:rPr>
          <w:lang w:val="en-US"/>
        </w:rPr>
        <w:t xml:space="preserve">Attend lab both days assigned in your schedule.</w:t>
      </w:r>
    </w:p>
    <w:p>
      <w:pPr>
        <w:pStyle w:val="BodyText"/>
      </w:pPr>
      <w:r>
        <w:rPr>
          <w:lang w:val="en-US"/>
        </w:rPr>
        <w:t xml:space="preserve">Quizzes are the one exception to this weekly pattern — they’re in-person during lab, in Weeks 4, 6, 8, and 10 (Week 10 carries both Quiz 4 and Quiz 5, since it’s the merged final content week).</w:t>
      </w:r>
    </w:p>
    <w:p>
      <w:pPr>
        <w:pStyle w:val="Callout"/>
      </w:pPr>
      <w:r>
        <w:rPr>
          <w:b/>
          <w:bCs/>
          <w:lang w:val="en-US"/>
        </w:rPr>
        <w:t xml:space="preserve">Dr. B’s Note:</w:t>
      </w:r>
      <w:r>
        <w:rPr>
          <w:lang w:val="en-US"/>
        </w:rPr>
        <w:t xml:space="preserve"> </w:t>
      </w:r>
      <w:r>
        <w:rPr>
          <w:i/>
          <w:iCs/>
          <w:lang w:val="en-US"/>
        </w:rPr>
        <w:t xml:space="preserve">Prioritize content learning in your Chemfolio with your team first. Labs are based on the assigned content from the module.</w:t>
      </w:r>
    </w:p>
    <w:bookmarkEnd w:id="20"/>
    <w:bookmarkEnd w:id="21"/>
    <w:bookmarkStart w:id="23" w:name="about-your-instructor"/>
    <w:p>
      <w:pPr>
        <w:pStyle w:val="Heading1"/>
      </w:pPr>
      <w:r>
        <w:rPr>
          <w:lang w:val="en-US"/>
        </w:rPr>
        <w:t xml:space="preserve">About Your Instructor</w:t>
      </w:r>
    </w:p>
    <w:p>
      <w:pPr>
        <w:pStyle w:val="FirstParagraph"/>
      </w:pPr>
      <w:r>
        <w:rPr>
          <w:i/>
          <w:iCs/>
          <w:lang w:val="en-U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Instructor Name and pronouns</w:t>
            </w:r>
          </w:p>
        </w:tc>
        <w:tc>
          <w:tcPr/>
          <w:p>
            <w:pPr>
              <w:pStyle w:val="Compact"/>
            </w:pPr>
            <w:r>
              <w:rPr>
                <w:lang w:val="en-US"/>
              </w:rPr>
              <w:t xml:space="preserve">Dr. Karl Bailey, Ph.D. (he/him)</w:t>
            </w:r>
          </w:p>
        </w:tc>
      </w:tr>
      <w:tr>
        <w:trPr>
          <w:cantSplit/>
        </w:trPr>
        <w:tc>
          <w:tcPr/>
          <w:p>
            <w:pPr>
              <w:pStyle w:val="Compact"/>
            </w:pPr>
            <w:r>
              <w:rPr>
                <w:b/>
                <w:bCs/>
                <w:lang w:val="en-US"/>
              </w:rPr>
              <w:t xml:space="preserve">How I like to be addressed</w:t>
            </w:r>
          </w:p>
        </w:tc>
        <w:tc>
          <w:tcPr/>
          <w:p>
            <w:pPr>
              <w:pStyle w:val="Compact"/>
            </w:pPr>
            <w:r>
              <w:rPr>
                <w:lang w:val="en-US"/>
              </w:rPr>
              <w:t xml:space="preserve">Dr. B</w:t>
            </w:r>
          </w:p>
        </w:tc>
      </w:tr>
      <w:tr>
        <w:trPr>
          <w:cantSplit/>
        </w:trPr>
        <w:tc>
          <w:tcPr/>
          <w:p>
            <w:pPr>
              <w:pStyle w:val="Compact"/>
            </w:pPr>
            <w:r>
              <w:rPr>
                <w:b/>
                <w:bCs/>
                <w:lang w:val="en-US"/>
              </w:rPr>
              <w:t xml:space="preserve">Communication</w:t>
            </w:r>
          </w:p>
        </w:tc>
        <w:tc>
          <w:tcPr/>
          <w:p>
            <w:pPr>
              <w:pStyle w:val="BodyText"/>
            </w:pPr>
            <w:r>
              <w:rPr>
                <w:lang w:val="en-US"/>
              </w:rPr>
              <w:t xml:space="preserve">Canvas Inbox only — I do not use email during the term.</w:t>
            </w:r>
          </w:p>
          <w:p>
            <w:pPr>
              <w:pStyle w:val="BodyText"/>
            </w:pPr>
            <w:r>
              <w:rPr>
                <w:lang w:val="en-US"/>
              </w:rPr>
              <w:t xml:space="preserve">Not a current student? Reach me at kbailey@clark.edu or 360-992-2313.</w:t>
            </w:r>
          </w:p>
        </w:tc>
      </w:tr>
      <w:tr>
        <w:trPr>
          <w:cantSplit/>
        </w:trPr>
        <w:tc>
          <w:tcPr/>
          <w:p>
            <w:pPr>
              <w:pStyle w:val="Compact"/>
            </w:pPr>
            <w:r>
              <w:rPr>
                <w:b/>
                <w:bCs/>
                <w:lang w:val="en-US"/>
              </w:rPr>
              <w:t xml:space="preserve">Help Hours</w:t>
            </w:r>
          </w:p>
        </w:tc>
        <w:tc>
          <w:tcPr/>
          <w:p>
            <w:pPr>
              <w:pStyle w:val="Compact"/>
            </w:pPr>
            <w:r>
              <w:rPr>
                <w:lang w:val="en-US"/>
              </w:rPr>
              <w:t xml:space="preserve">Tuesday &amp; Thursday, 12:00–2:00 PM (2 hours before the 2:00 PM lab section)</w:t>
            </w:r>
          </w:p>
        </w:tc>
      </w:tr>
      <w:tr>
        <w:trPr>
          <w:cantSplit/>
        </w:trPr>
        <w:tc>
          <w:tcPr/>
          <w:p>
            <w:pPr>
              <w:pStyle w:val="Compact"/>
            </w:pPr>
            <w:r>
              <w:rPr>
                <w:b/>
                <w:bCs/>
                <w:lang w:val="en-US"/>
              </w:rPr>
              <w:t xml:space="preserve">Preferred Mode of Communication</w:t>
            </w:r>
          </w:p>
        </w:tc>
        <w:tc>
          <w:tcPr/>
          <w:p>
            <w:pPr>
              <w:pStyle w:val="Compact"/>
            </w:pPr>
            <w:r>
              <w:rPr>
                <w:lang w:val="en-US"/>
              </w:rPr>
              <w:t xml:space="preserve">Canvas Inbox — I reply within 24 hours on weekdays.</w:t>
            </w:r>
          </w:p>
        </w:tc>
      </w:tr>
    </w:tbl>
    <w:bookmarkStart w:id="22" w:name="what-can-you-expect-from-me"/>
    <w:p>
      <w:pPr>
        <w:pStyle w:val="Heading2"/>
      </w:pPr>
      <w:r>
        <w:rPr>
          <w:lang w:val="en-US"/>
        </w:rPr>
        <w:t xml:space="preserve">What can you expect from me?</w:t>
      </w:r>
    </w:p>
    <w:p>
      <w:pPr>
        <w:pStyle w:val="FirstParagraph"/>
      </w:pPr>
      <w:r>
        <w:rPr>
          <w:lang w:val="en-US"/>
        </w:rP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lang w:val="en-US"/>
        </w:rPr>
        <w:t xml:space="preserve">“Our job as educators is not to prepare you for the real world. You already live in the real world. Our job is to empower you to change it.”</w:t>
      </w:r>
      <w:r>
        <w:rPr>
          <w:lang w:val="en-US"/>
        </w:rPr>
        <w:t xml:space="preserve"> </w:t>
      </w:r>
      <w:r>
        <w:rPr>
          <w:lang w:val="en-US"/>
        </w:rPr>
        <w:t xml:space="preserve">— Dr. B</w:t>
      </w:r>
    </w:p>
    <w:bookmarkEnd w:id="22"/>
    <w:bookmarkEnd w:id="23"/>
    <w:bookmarkStart w:id="26" w:name="what-course-materials-will-i-need"/>
    <w:p>
      <w:pPr>
        <w:pStyle w:val="Heading1"/>
      </w:pPr>
      <w:r>
        <w:rPr>
          <w:lang w:val="en-US"/>
        </w:rPr>
        <w:t xml:space="preserve">What Course Materials Will I Need?</w:t>
      </w:r>
    </w:p>
    <w:p>
      <w:pPr>
        <w:pStyle w:val="FirstParagraph"/>
      </w:pPr>
      <w:r>
        <w:rPr>
          <w:i/>
          <w:iCs/>
          <w:lang w:val="en-U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Texts/Other learning materials</w:t>
            </w:r>
          </w:p>
        </w:tc>
        <w:tc>
          <w:tcPr/>
          <w:p>
            <w:pPr>
              <w:pStyle w:val="Compact"/>
              <w:numPr>
                <w:ilvl w:val="0"/>
                <w:numId w:val="1002"/>
              </w:numPr>
            </w:pPr>
            <w:r>
              <w:rPr>
                <w:b/>
                <w:bCs/>
                <w:lang w:val="en-US"/>
              </w:rPr>
              <w:t xml:space="preserve">Chemfolio</w:t>
            </w:r>
            <w:r>
              <w:rPr>
                <w:lang w:val="en-US"/>
              </w:rPr>
              <w:t xml:space="preserve"> </w:t>
            </w:r>
            <w:r>
              <w:rPr>
                <w:lang w:val="en-US"/>
              </w:rPr>
              <w:t xml:space="preserve">(lecture workbook) — required, drives our 3-2-1 discussion format.</w:t>
            </w:r>
            <w:r>
              <w:rPr>
                <w:lang w:val="en-US"/>
              </w:rPr>
              <w:t xml:space="preserve"> </w:t>
            </w:r>
            <w:r>
              <w:rPr>
                <w:i/>
                <w:iCs/>
                <w:lang w:val="en-US"/>
              </w:rPr>
              <w:t xml:space="preserve">($19.50, edition/ISBN TBD)</w:t>
            </w:r>
          </w:p>
          <w:p>
            <w:pPr>
              <w:pStyle w:val="Compact"/>
              <w:numPr>
                <w:ilvl w:val="0"/>
                <w:numId w:val="1002"/>
              </w:numPr>
            </w:pPr>
            <w:r>
              <w:rPr>
                <w:b/>
                <w:bCs/>
                <w:lang w:val="en-US"/>
              </w:rPr>
              <w:t xml:space="preserve">CHEM&amp;131 Lab Manual</w:t>
            </w:r>
            <w:r>
              <w:rPr>
                <w:lang w:val="en-US"/>
              </w:rPr>
              <w:t xml:space="preserve"> </w:t>
            </w:r>
            <w:r>
              <w:rPr>
                <w:lang w:val="en-US"/>
              </w:rPr>
              <w:t xml:space="preserve">(lab manual) — required.</w:t>
            </w:r>
            <w:r>
              <w:rPr>
                <w:lang w:val="en-US"/>
              </w:rPr>
              <w:t xml:space="preserve"> </w:t>
            </w:r>
            <w:r>
              <w:rPr>
                <w:i/>
                <w:iCs/>
                <w:lang w:val="en-US"/>
              </w:rPr>
              <w:t xml:space="preserve">(~$16.70, edition/ISBN TBD)</w:t>
            </w:r>
          </w:p>
          <w:p>
            <w:pPr>
              <w:pStyle w:val="Compact"/>
              <w:numPr>
                <w:ilvl w:val="0"/>
                <w:numId w:val="1002"/>
              </w:numPr>
            </w:pPr>
            <w:r>
              <w:rPr>
                <w:b/>
                <w:bCs/>
                <w:lang w:val="en-US"/>
              </w:rPr>
              <w:t xml:space="preserve">Composition Notebook</w:t>
            </w:r>
            <w:r>
              <w:rPr>
                <w:lang w:val="en-US"/>
              </w:rPr>
              <w:t xml:space="preserve">, college ruled, 7.5 x 10 in — required.</w:t>
            </w:r>
          </w:p>
          <w:p>
            <w:pPr>
              <w:pStyle w:val="Compact"/>
              <w:numPr>
                <w:ilvl w:val="0"/>
                <w:numId w:val="1002"/>
              </w:numPr>
            </w:pPr>
            <w:r>
              <w:rPr>
                <w:b/>
                <w:bCs/>
                <w:lang w:val="en-US"/>
              </w:rPr>
              <w:t xml:space="preserve">Scientific or Graphing Calculator</w:t>
            </w:r>
            <w:r>
              <w:rPr>
                <w:lang w:val="en-US"/>
              </w:rPr>
              <w:t xml:space="preserve"> </w:t>
            </w:r>
            <w:r>
              <w:rPr>
                <w:lang w:val="en-US"/>
              </w:rP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p>
          <w:p>
            <w:pPr>
              <w:pStyle w:val="Compact"/>
              <w:numPr>
                <w:ilvl w:val="0"/>
                <w:numId w:val="1002"/>
              </w:numPr>
            </w:pPr>
            <w:r>
              <w:rPr>
                <w:b/>
                <w:bCs/>
                <w:lang w:val="en-US"/>
              </w:rPr>
              <w:t xml:space="preserve">ALEKS</w:t>
            </w:r>
            <w:r>
              <w:rPr>
                <w:lang w:val="en-US"/>
              </w:rPr>
              <w:t xml:space="preserve"> </w:t>
            </w:r>
            <w:r>
              <w:rPr>
                <w:lang w:val="en-US"/>
              </w:rPr>
              <w:t xml:space="preserve">— required online homework platform, includes access to the Smith textbook. Paid through your course registration.</w:t>
            </w:r>
          </w:p>
        </w:tc>
      </w:tr>
      <w:tr>
        <w:trPr>
          <w:cantSplit/>
        </w:trPr>
        <w:tc>
          <w:tcPr/>
          <w:p>
            <w:pPr>
              <w:pStyle w:val="Compact"/>
            </w:pPr>
            <w:r>
              <w:rPr>
                <w:b/>
                <w:bCs/>
                <w:lang w:val="en-US"/>
              </w:rPr>
              <w:t xml:space="preserve">Companion Web Site</w:t>
            </w:r>
          </w:p>
        </w:tc>
        <w:tc>
          <w:tcPr/>
          <w:p>
            <w:pPr>
              <w:pStyle w:val="Compact"/>
            </w:pPr>
            <w:r>
              <w:rPr>
                <w:lang w:val="en-US"/>
              </w:rPr>
              <w:t xml:space="preserve">ALEKS (aleks.com), accessed through Canvas</w:t>
            </w:r>
          </w:p>
        </w:tc>
      </w:tr>
      <w:tr>
        <w:trPr>
          <w:cantSplit/>
        </w:trPr>
        <w:tc>
          <w:tcPr/>
          <w:p>
            <w:pPr>
              <w:pStyle w:val="Compact"/>
            </w:pPr>
            <w:r>
              <w:rPr>
                <w:b/>
                <w:bCs/>
                <w:lang w:val="en-US"/>
              </w:rPr>
              <w:t xml:space="preserve">Software</w:t>
            </w:r>
          </w:p>
        </w:tc>
        <w:tc>
          <w:tcPr/>
          <w:p>
            <w:pPr>
              <w:pStyle w:val="Compact"/>
            </w:pPr>
            <w:r>
              <w:rPr>
                <w:lang w:val="en-US"/>
              </w:rPr>
              <w:t xml:space="preserve">Microsoft Office (primarily Word and Excel) — accessible right inside Canvas through the Microsoft Education integration, using your free Clark student Office 365 account.</w:t>
            </w:r>
          </w:p>
        </w:tc>
      </w:tr>
      <w:tr>
        <w:trPr>
          <w:cantSplit/>
        </w:trPr>
        <w:tc>
          <w:tcPr/>
          <w:p>
            <w:pPr>
              <w:pStyle w:val="Compact"/>
            </w:pPr>
            <w:r>
              <w:rPr>
                <w:b/>
                <w:bCs/>
                <w:lang w:val="en-US"/>
              </w:rPr>
              <w:t xml:space="preserve">Electronic Resources</w:t>
            </w:r>
          </w:p>
        </w:tc>
        <w:tc>
          <w:tcPr/>
          <w:p>
            <w:pPr>
              <w:pStyle w:val="BodyText"/>
            </w:pPr>
            <w:r>
              <w:rPr>
                <w:lang w:val="en-US"/>
              </w:rPr>
              <w:t xml:space="preserve">Canvas Learning Management System. You’ll need to scan and upload multi-page PDF files to Canvas — Microsoft OneDrive or Adobe Scan are recommended.</w:t>
            </w:r>
          </w:p>
          <w:p>
            <w:pPr>
              <w:pStyle w:val="BodyText"/>
            </w:pPr>
            <w:r>
              <w:rPr>
                <w:lang w:val="en-US"/>
              </w:rPr>
              <w:t xml:space="preserve">Follow the directions in the Getting Started: Course Orientation guide, which include enabling your Clark student email and Clark Labs account to activate your free Microsoft Office 365 account.</w:t>
            </w:r>
          </w:p>
        </w:tc>
      </w:tr>
      <w:tr>
        <w:trPr>
          <w:cantSplit/>
        </w:trPr>
        <w:tc>
          <w:tcPr/>
          <w:p>
            <w:pPr>
              <w:pStyle w:val="Compact"/>
            </w:pPr>
            <w:r>
              <w:rPr>
                <w:b/>
                <w:bCs/>
                <w:lang w:val="en-US"/>
              </w:rPr>
              <w:t xml:space="preserve">Privacy &amp; accessibility for course tools and materials</w:t>
            </w:r>
          </w:p>
        </w:tc>
        <w:tc>
          <w:tcPr/>
          <w:p>
            <w:pPr>
              <w:pStyle w:val="Compact"/>
            </w:pPr>
            <w:r>
              <w:rPr>
                <w:lang w:val="en-US"/>
              </w:rPr>
              <w:t xml:space="preserve">See Clark’s</w:t>
            </w:r>
            <w:r>
              <w:rPr>
                <w:lang w:val="en-US"/>
              </w:rPr>
              <w:t xml:space="preserve"> </w:t>
            </w:r>
            <w:hyperlink r:id="rId24">
              <w:r>
                <w:rPr>
                  <w:rStyle w:val="Hyperlink"/>
                  <w:lang w:val="en-US"/>
                </w:rPr>
                <w:t xml:space="preserve">eLearning accessibility and privacy policies page</w:t>
              </w:r>
            </w:hyperlink>
            <w:r>
              <w:rPr>
                <w:lang w:val="en-US"/>
              </w:rPr>
              <w:t xml:space="preserve"> </w:t>
            </w:r>
            <w:r>
              <w:rPr>
                <w:lang w:val="en-US"/>
              </w:rPr>
              <w:t xml:space="preserve">for Canvas, ALEKS, and other tools used in this course.</w:t>
            </w:r>
          </w:p>
        </w:tc>
      </w:tr>
      <w:tr>
        <w:trPr>
          <w:cantSplit/>
        </w:trPr>
        <w:tc>
          <w:tcPr/>
          <w:p>
            <w:pPr>
              <w:pStyle w:val="Compact"/>
            </w:pPr>
            <w:r>
              <w:rPr>
                <w:b/>
                <w:bCs/>
                <w:lang w:val="en-US"/>
              </w:rPr>
              <w:t xml:space="preserve">Where to find necessary materials</w:t>
            </w:r>
          </w:p>
        </w:tc>
        <w:tc>
          <w:tcPr/>
          <w:p>
            <w:pPr>
              <w:pStyle w:val="BodyText"/>
            </w:pPr>
            <w:r>
              <w:rPr>
                <w:lang w:val="en-US"/>
              </w:rPr>
              <w:t xml:space="preserve">Chemfolio and your lab manual:</w:t>
            </w:r>
            <w:r>
              <w:rPr>
                <w:lang w:val="en-US"/>
              </w:rPr>
              <w:t xml:space="preserve"> </w:t>
            </w:r>
            <w:hyperlink r:id="rId25">
              <w:r>
                <w:rPr>
                  <w:rStyle w:val="Hyperlink"/>
                  <w:lang w:val="en-US"/>
                </w:rPr>
                <w:t xml:space="preserve">Clark College Bookstore</w:t>
              </w:r>
            </w:hyperlink>
            <w:r>
              <w:rPr>
                <w:lang w:val="en-US"/>
              </w:rPr>
              <w:t xml:space="preserve">.</w:t>
            </w:r>
          </w:p>
          <w:p>
            <w:pPr>
              <w:pStyle w:val="BodyText"/>
            </w:pPr>
            <w:r>
              <w:rPr>
                <w:lang w:val="en-US"/>
              </w:rPr>
              <w:t xml:space="preserve">ALEKS: access is set up automatically in Canvas once your registration is processed.</w:t>
            </w:r>
          </w:p>
        </w:tc>
      </w:tr>
    </w:tbl>
    <w:bookmarkEnd w:id="26"/>
    <w:bookmarkStart w:id="32" w:name="what-are-the-course-agreements"/>
    <w:p>
      <w:pPr>
        <w:pStyle w:val="Heading1"/>
      </w:pPr>
      <w:r>
        <w:rPr>
          <w:lang w:val="en-US"/>
        </w:rPr>
        <w:t xml:space="preserve">What Are the Course Agreements?</w:t>
      </w:r>
    </w:p>
    <w:p>
      <w:pPr>
        <w:pStyle w:val="FirstParagraph"/>
      </w:pPr>
      <w:r>
        <w:rPr>
          <w:i/>
          <w:iCs/>
          <w:lang w:val="en-US"/>
        </w:rPr>
        <w:t xml:space="preserve">TL;DR: Message me in Canvas Inbox, cite anything that isn’t yours, never use AI to create anything you submit, and show up ready to work.</w:t>
      </w:r>
    </w:p>
    <w:bookmarkStart w:id="27" w:name="communication"/>
    <w:p>
      <w:pPr>
        <w:pStyle w:val="Heading2"/>
      </w:pPr>
      <w:r>
        <w:rPr>
          <w:lang w:val="en-US"/>
        </w:rPr>
        <w:t xml:space="preserve">Communication</w:t>
      </w:r>
    </w:p>
    <w:p>
      <w:pPr>
        <w:pStyle w:val="FirstParagraph"/>
      </w:pPr>
      <w:r>
        <w:rPr>
          <w:lang w:val="en-US"/>
        </w:rP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rPr>
          <w:lang w:val="en-US"/>
        </w:rPr>
        <w:t xml:space="preserve">Citing Your Sources</w:t>
      </w:r>
    </w:p>
    <w:p>
      <w:pPr>
        <w:pStyle w:val="FirstParagraph"/>
      </w:pPr>
      <w:r>
        <w:rPr>
          <w:lang w:val="en-US"/>
        </w:rP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rPr>
          <w:lang w:val="en-US"/>
        </w:rP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rPr>
          <w:lang w:val="en-US"/>
        </w:rP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rPr>
          <w:lang w:val="en-US"/>
        </w:rPr>
        <w:t xml:space="preserve"> </w:t>
      </w:r>
      <w:hyperlink r:id="rId28">
        <w:r>
          <w:rPr>
            <w:rStyle w:val="Hyperlink"/>
            <w:lang w:val="en-US"/>
          </w:rPr>
          <w:t xml:space="preserve">plagiarism information from Clark College Libraries</w:t>
        </w:r>
      </w:hyperlink>
      <w:r>
        <w:rPr>
          <w:lang w:val="en-US"/>
        </w:rPr>
        <w:t xml:space="preserve"> </w:t>
      </w:r>
      <w:r>
        <w:rPr>
          <w:lang w:val="en-US"/>
        </w:rP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rPr>
          <w:lang w:val="en-US"/>
        </w:rPr>
        <w:t xml:space="preserve">AI (Artificial Intelligence) Guidelines — Community AI Agreement</w:t>
      </w:r>
    </w:p>
    <w:p>
      <w:pPr>
        <w:pStyle w:val="FirstParagraph"/>
      </w:pPr>
      <w:r>
        <w:rPr>
          <w:i/>
          <w:iCs/>
          <w:lang w:val="en-U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lang w:val="en-US"/>
        </w:rPr>
        <w:t xml:space="preserve">Writing is integral to thinking. It is also hard.</w:t>
      </w:r>
      <w:r>
        <w:rPr>
          <w:lang w:val="en-US"/>
        </w:rPr>
        <w:t xml:space="preserve"> </w:t>
      </w:r>
      <w:r>
        <w:rPr>
          <w:lang w:val="en-US"/>
        </w:rP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rPr>
          <w:lang w:val="en-US"/>
        </w:rPr>
        <w:t xml:space="preserve"> </w:t>
      </w:r>
      <w:r>
        <w:rPr>
          <w:lang w:val="en-US"/>
        </w:rPr>
        <w:t xml:space="preserve">“brainstormed”</w:t>
      </w:r>
      <w:r>
        <w:rPr>
          <w:lang w:val="en-US"/>
        </w:rPr>
        <w:t xml:space="preserve"> </w:t>
      </w:r>
      <w:r>
        <w:rPr>
          <w:lang w:val="en-US"/>
        </w:rPr>
        <w:t xml:space="preserve">material or ideas — AI cannot brainstorm for you, even if you credit it.</w:t>
      </w:r>
      <w:r>
        <w:rPr>
          <w:lang w:val="en-US"/>
        </w:rPr>
        <w:t xml:space="preserve"> </w:t>
      </w:r>
      <w:r>
        <w:rPr>
          <w:b/>
          <w:bCs/>
          <w:lang w:val="en-US"/>
        </w:rPr>
        <w:t xml:space="preserve">Assignments with AI-generated or AI-edited content earn 20% — a failing score. Repeated or more serious violations may result in a zero on that assignment.</w:t>
      </w:r>
    </w:p>
    <w:p>
      <w:pPr>
        <w:pStyle w:val="BodyText"/>
      </w:pPr>
      <w:r>
        <w:rPr>
          <w:lang w:val="en-US"/>
        </w:rP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lang w:val="en-US"/>
        </w:rPr>
        <w:t xml:space="preserve">We need honest folks in healthcare occupations. Here’s how to avoid cheating:</w:t>
      </w:r>
    </w:p>
    <w:p>
      <w:pPr>
        <w:pStyle w:val="Compact"/>
        <w:numPr>
          <w:ilvl w:val="0"/>
          <w:numId w:val="1003"/>
        </w:numPr>
      </w:pPr>
      <w:r>
        <w:rPr>
          <w:b/>
          <w:bCs/>
          <w:lang w:val="en-US"/>
        </w:rPr>
        <w:t xml:space="preserve">Document ALL your work offline in Microsoft Word in your OneDrive (see Canvas).</w:t>
      </w:r>
    </w:p>
    <w:p>
      <w:pPr>
        <w:pStyle w:val="Compact"/>
        <w:numPr>
          <w:ilvl w:val="0"/>
          <w:numId w:val="1003"/>
        </w:numPr>
      </w:pPr>
      <w:r>
        <w:rPr>
          <w:b/>
          <w:bCs/>
          <w:lang w:val="en-US"/>
        </w:rPr>
        <w:t xml:space="preserve">Appropriate use of AI for any assignment in this class:</w:t>
      </w:r>
    </w:p>
    <w:p>
      <w:pPr>
        <w:pStyle w:val="Compact"/>
        <w:numPr>
          <w:ilvl w:val="1"/>
          <w:numId w:val="1004"/>
        </w:numPr>
      </w:pPr>
      <w:r>
        <w:rPr>
          <w:lang w:val="en-US"/>
        </w:rPr>
        <w:t xml:space="preserve">You are free to use spell check, grammar check, and synonym identification tools in applications (e.g., those in Microsoft Word, Google Docs, Pages, or Canvas).</w:t>
      </w:r>
    </w:p>
    <w:p>
      <w:pPr>
        <w:pStyle w:val="Compact"/>
        <w:numPr>
          <w:ilvl w:val="1"/>
          <w:numId w:val="1004"/>
        </w:numPr>
      </w:pPr>
      <w:r>
        <w:rPr>
          <w:lang w:val="en-US"/>
        </w:rPr>
        <w:t xml:space="preserve">You are free to use in-app recommendations when it comes to spelling and grammar of only sentences you have written entirely yourself first.</w:t>
      </w:r>
    </w:p>
    <w:p>
      <w:pPr>
        <w:pStyle w:val="Compact"/>
        <w:numPr>
          <w:ilvl w:val="1"/>
          <w:numId w:val="1004"/>
        </w:numPr>
      </w:pPr>
      <w:r>
        <w:rPr>
          <w:lang w:val="en-US"/>
        </w:rPr>
        <w:t xml:space="preserve">You are free to use in-app recommendations when it comes to tweaking outlines you have written entirely yourself first.</w:t>
      </w:r>
    </w:p>
    <w:p>
      <w:pPr>
        <w:pStyle w:val="Compact"/>
        <w:numPr>
          <w:ilvl w:val="0"/>
          <w:numId w:val="1003"/>
        </w:numPr>
      </w:pPr>
      <w:r>
        <w:rPr>
          <w:b/>
          <w:bCs/>
          <w:lang w:val="en-US"/>
        </w:rPr>
        <w:t xml:space="preserve">Inappropriate use of AI for any assignment in this class:</w:t>
      </w:r>
    </w:p>
    <w:p>
      <w:pPr>
        <w:pStyle w:val="Compact"/>
        <w:numPr>
          <w:ilvl w:val="1"/>
          <w:numId w:val="1005"/>
        </w:numPr>
      </w:pPr>
      <w:r>
        <w:rPr>
          <w:lang w:val="en-US"/>
        </w:rPr>
        <w:t xml:space="preserve">You cannot have an app write a draft (either rough or final) or brainstorm any assignment.</w:t>
      </w:r>
    </w:p>
    <w:p>
      <w:pPr>
        <w:pStyle w:val="Compact"/>
        <w:numPr>
          <w:ilvl w:val="1"/>
          <w:numId w:val="1005"/>
        </w:numPr>
      </w:pPr>
      <w:r>
        <w:rPr>
          <w:lang w:val="en-US"/>
        </w:rPr>
        <w:t xml:space="preserve">You cannot use any content generated from prompts given to you in assignments.</w:t>
      </w:r>
    </w:p>
    <w:p>
      <w:pPr>
        <w:pStyle w:val="Compact"/>
        <w:numPr>
          <w:ilvl w:val="1"/>
          <w:numId w:val="1005"/>
        </w:numPr>
      </w:pPr>
      <w:r>
        <w:rPr>
          <w:lang w:val="en-US"/>
        </w:rPr>
        <w:t xml:space="preserve">You cannot use sentences or paragraphs suggested by an app — not even with quotation marks and a citation.</w:t>
      </w:r>
    </w:p>
    <w:p>
      <w:pPr>
        <w:pStyle w:val="Compact"/>
        <w:numPr>
          <w:ilvl w:val="1"/>
          <w:numId w:val="1005"/>
        </w:numPr>
      </w:pPr>
      <w:r>
        <w:rPr>
          <w:lang w:val="en-US"/>
        </w:rPr>
        <w:t xml:space="preserve">You cannot have an app reply to your classmates or provide their words to an AI tool.</w:t>
      </w:r>
      <w:r>
        <w:rPr>
          <w:lang w:val="en-US"/>
        </w:rPr>
        <w:t xml:space="preserve"> </w:t>
      </w:r>
      <w:r>
        <w:rPr>
          <w:b/>
          <w:bCs/>
          <w:lang w:val="en-US"/>
        </w:rPr>
        <w:t xml:space="preserve">This is a violation of your classmates’ privacy as a student at Clark.</w:t>
      </w:r>
    </w:p>
    <w:p>
      <w:pPr>
        <w:pStyle w:val="Compact"/>
        <w:numPr>
          <w:ilvl w:val="1"/>
          <w:numId w:val="1005"/>
        </w:numPr>
      </w:pPr>
      <w:r>
        <w:rPr>
          <w:lang w:val="en-US"/>
        </w:rPr>
        <w:t xml:space="preserve">You cannot give any AI tool the learning materials and assignments from this class.</w:t>
      </w:r>
      <w:r>
        <w:rPr>
          <w:lang w:val="en-US"/>
        </w:rPr>
        <w:t xml:space="preserve"> </w:t>
      </w:r>
      <w:r>
        <w:rPr>
          <w:b/>
          <w:bCs/>
          <w:lang w:val="en-US"/>
        </w:rPr>
        <w:t xml:space="preserve">This is a violation of my privacy, as these materials were made by us.</w:t>
      </w:r>
    </w:p>
    <w:p>
      <w:pPr>
        <w:pStyle w:val="Compact"/>
        <w:numPr>
          <w:ilvl w:val="0"/>
          <w:numId w:val="1003"/>
        </w:numPr>
      </w:pPr>
      <w:r>
        <w:rPr>
          <w:b/>
          <w:bCs/>
          <w:lang w:val="en-US"/>
        </w:rPr>
        <w:t xml:space="preserve">Evidence of inappropriate AI use will be grounds for submission of an Academic Dishonesty report to the College, along with course sanctions at my discretion.</w:t>
      </w:r>
    </w:p>
    <w:p>
      <w:pPr>
        <w:pStyle w:val="Callout"/>
      </w:pPr>
      <w:r>
        <w:rPr>
          <w:b/>
          <w:bCs/>
          <w:lang w:val="en-US"/>
        </w:rPr>
        <w:t xml:space="preserve">Dr. B’s Note:</w:t>
      </w:r>
      <w:r>
        <w:rPr>
          <w:lang w:val="en-US"/>
        </w:rPr>
        <w:t xml:space="preserve"> </w:t>
      </w:r>
      <w:r>
        <w:rPr>
          <w:i/>
          <w:iCs/>
          <w:lang w:val="en-U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rPr>
          <w:lang w:val="en-US"/>
        </w:rPr>
        <w:t xml:space="preserve">Classroom Norms</w:t>
      </w:r>
    </w:p>
    <w:p>
      <w:pPr>
        <w:pStyle w:val="FirstParagraph"/>
      </w:pPr>
      <w:r>
        <w:rPr>
          <w:lang w:val="en-US"/>
        </w:rP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rPr>
          <w:lang w:val="en-US"/>
        </w:rPr>
        <w:t xml:space="preserve">To honor these commitments, I expect that everyone — including me — will:</w:t>
      </w:r>
    </w:p>
    <w:p>
      <w:pPr>
        <w:pStyle w:val="Compact"/>
        <w:numPr>
          <w:ilvl w:val="0"/>
          <w:numId w:val="1006"/>
        </w:numPr>
      </w:pPr>
      <w:r>
        <w:rPr>
          <w:lang w:val="en-US"/>
        </w:rPr>
        <w:t xml:space="preserve">Be Kind, Patient, Understanding</w:t>
      </w:r>
    </w:p>
    <w:p>
      <w:pPr>
        <w:pStyle w:val="Compact"/>
        <w:numPr>
          <w:ilvl w:val="0"/>
          <w:numId w:val="1006"/>
        </w:numPr>
      </w:pPr>
      <w:r>
        <w:rPr>
          <w:lang w:val="en-US"/>
        </w:rPr>
        <w:t xml:space="preserve">Create a brave learning space</w:t>
      </w:r>
    </w:p>
    <w:p>
      <w:pPr>
        <w:pStyle w:val="Compact"/>
        <w:numPr>
          <w:ilvl w:val="0"/>
          <w:numId w:val="1006"/>
        </w:numPr>
      </w:pPr>
      <w:r>
        <w:rPr>
          <w:lang w:val="en-US"/>
        </w:rPr>
        <w:t xml:space="preserve">Learning can be tough, discomfort is welcome</w:t>
      </w:r>
    </w:p>
    <w:p>
      <w:pPr>
        <w:pStyle w:val="Compact"/>
        <w:numPr>
          <w:ilvl w:val="0"/>
          <w:numId w:val="1006"/>
        </w:numPr>
      </w:pPr>
      <w:r>
        <w:rPr>
          <w:lang w:val="en-US"/>
        </w:rPr>
        <w:t xml:space="preserve">Practice graceful learning</w:t>
      </w:r>
    </w:p>
    <w:p>
      <w:pPr>
        <w:pStyle w:val="Compact"/>
        <w:numPr>
          <w:ilvl w:val="0"/>
          <w:numId w:val="1006"/>
        </w:numPr>
      </w:pPr>
      <w:r>
        <w:rPr>
          <w:lang w:val="en-US"/>
        </w:rPr>
        <w:t xml:space="preserve">Respect each other’s perspectives</w:t>
      </w:r>
    </w:p>
    <w:p>
      <w:pPr>
        <w:pStyle w:val="Compact"/>
        <w:numPr>
          <w:ilvl w:val="0"/>
          <w:numId w:val="1006"/>
        </w:numPr>
      </w:pPr>
      <w:r>
        <w:rPr>
          <w:lang w:val="en-US"/>
        </w:rPr>
        <w:t xml:space="preserve">Make space, take space</w:t>
      </w:r>
    </w:p>
    <w:p>
      <w:pPr>
        <w:pStyle w:val="Compact"/>
        <w:numPr>
          <w:ilvl w:val="0"/>
          <w:numId w:val="1006"/>
        </w:numPr>
      </w:pPr>
      <w:r>
        <w:rPr>
          <w:lang w:val="en-US"/>
        </w:rPr>
        <w:t xml:space="preserve">Include others in the conversation</w:t>
      </w:r>
    </w:p>
    <w:p>
      <w:pPr>
        <w:pStyle w:val="Compact"/>
        <w:numPr>
          <w:ilvl w:val="0"/>
          <w:numId w:val="1006"/>
        </w:numPr>
      </w:pPr>
      <w:r>
        <w:rPr>
          <w:lang w:val="en-US"/>
        </w:rPr>
        <w:t xml:space="preserve">Stay present, but take breaks when you need them</w:t>
      </w:r>
    </w:p>
    <w:p>
      <w:pPr>
        <w:pStyle w:val="Compact"/>
        <w:numPr>
          <w:ilvl w:val="0"/>
          <w:numId w:val="1006"/>
        </w:numPr>
      </w:pPr>
      <w:r>
        <w:rPr>
          <w:lang w:val="en-US"/>
        </w:rPr>
        <w:t xml:space="preserve">Listen to understand, not speak next</w:t>
      </w:r>
    </w:p>
    <w:p>
      <w:pPr>
        <w:pStyle w:val="Compact"/>
        <w:numPr>
          <w:ilvl w:val="0"/>
          <w:numId w:val="1006"/>
        </w:numPr>
      </w:pPr>
      <w:r>
        <w:rPr>
          <w:lang w:val="en-US"/>
        </w:rPr>
        <w:t xml:space="preserve">Stories told here stay here, knowledge leaves</w:t>
      </w:r>
    </w:p>
    <w:p>
      <w:pPr>
        <w:pStyle w:val="Compact"/>
        <w:numPr>
          <w:ilvl w:val="0"/>
          <w:numId w:val="1006"/>
        </w:numPr>
      </w:pPr>
      <w:r>
        <w:rPr>
          <w:lang w:val="en-US"/>
        </w:rPr>
        <w:t xml:space="preserve">Accept reasonable boundaries and non-closure</w:t>
      </w:r>
    </w:p>
    <w:p>
      <w:pPr>
        <w:pStyle w:val="Compact"/>
        <w:numPr>
          <w:ilvl w:val="0"/>
          <w:numId w:val="1006"/>
        </w:numPr>
      </w:pPr>
      <w:r>
        <w:rPr>
          <w:lang w:val="en-US"/>
        </w:rPr>
        <w:t xml:space="preserve">If someone is struggling, offer to help</w:t>
      </w:r>
    </w:p>
    <w:p>
      <w:pPr>
        <w:pStyle w:val="Compact"/>
        <w:numPr>
          <w:ilvl w:val="0"/>
          <w:numId w:val="1006"/>
        </w:numPr>
      </w:pPr>
      <w:r>
        <w:rPr>
          <w:lang w:val="en-US"/>
        </w:rPr>
        <w:t xml:space="preserve">If you are struggling, seek help</w:t>
      </w:r>
    </w:p>
    <w:p>
      <w:pPr>
        <w:pStyle w:val="FirstParagraph"/>
      </w:pPr>
      <w:r>
        <w:rPr>
          <w:lang w:val="en-US"/>
        </w:rPr>
        <w:t xml:space="preserve">Alongside that spirit, a few practical expectations:</w:t>
      </w:r>
    </w:p>
    <w:p>
      <w:pPr>
        <w:pStyle w:val="Compact"/>
        <w:numPr>
          <w:ilvl w:val="0"/>
          <w:numId w:val="1007"/>
        </w:numPr>
      </w:pPr>
      <w:r>
        <w:rPr>
          <w:lang w:val="en-US"/>
        </w:rPr>
        <w:t xml:space="preserve">Complete each week’s assignments — discussions, labs, ALEKS — by the posted due date.</w:t>
      </w:r>
    </w:p>
    <w:p>
      <w:pPr>
        <w:pStyle w:val="Compact"/>
        <w:numPr>
          <w:ilvl w:val="0"/>
          <w:numId w:val="1007"/>
        </w:numPr>
      </w:pPr>
      <w:r>
        <w:rPr>
          <w:lang w:val="en-US"/>
        </w:rPr>
        <w:t xml:space="preserve">Attend your scheduled labs (both) every week; all lab hours are required to pass the course — see the Lab Requirement section below for exactly what that means.</w:t>
      </w:r>
    </w:p>
    <w:p>
      <w:pPr>
        <w:pStyle w:val="Compact"/>
        <w:numPr>
          <w:ilvl w:val="0"/>
          <w:numId w:val="1007"/>
        </w:numPr>
      </w:pPr>
      <w:r>
        <w:rPr>
          <w:lang w:val="en-US"/>
        </w:rPr>
        <w:t xml:space="preserve">Be a courteous member of the team and don’t get in the way of anyone else’s learning: post and reply before the due dates, not hours or minutes before.</w:t>
      </w:r>
    </w:p>
    <w:p>
      <w:pPr>
        <w:pStyle w:val="Compact"/>
        <w:numPr>
          <w:ilvl w:val="0"/>
          <w:numId w:val="1007"/>
        </w:numPr>
      </w:pPr>
      <w:r>
        <w:rPr>
          <w:lang w:val="en-US"/>
        </w:rPr>
        <w:t xml:space="preserve">Tell me as early as you can about anything affecting your ability to take part fully.</w:t>
      </w:r>
    </w:p>
    <w:p>
      <w:pPr>
        <w:pStyle w:val="FirstParagraph"/>
      </w:pPr>
      <w:r>
        <w:rPr>
          <w:i/>
          <w:iCs/>
          <w:lang w:val="en-US"/>
        </w:rPr>
        <w:t xml:space="preserve">“How you do anything is how you do everything.”</w:t>
      </w:r>
    </w:p>
    <w:bookmarkEnd w:id="31"/>
    <w:bookmarkEnd w:id="32"/>
    <w:bookmarkStart w:id="33" w:name="X762e0c562ca86535819c7c15adbe8dbe270c6b6"/>
    <w:p>
      <w:pPr>
        <w:pStyle w:val="Heading1"/>
      </w:pPr>
      <w:r>
        <w:rPr>
          <w:lang w:val="en-US"/>
        </w:rPr>
        <w:t xml:space="preserve">What Are the Learning Goals in This Course?</w:t>
      </w:r>
    </w:p>
    <w:p>
      <w:pPr>
        <w:pStyle w:val="FirstParagraph"/>
      </w:pPr>
      <w:r>
        <w:rPr>
          <w:i/>
          <w:iCs/>
          <w:lang w:val="en-US"/>
        </w:rPr>
        <w:t xml:space="preserve">TL;DR: By the end, you can apply organic and biochemistry reasoning to real health-career problems — and these skills tie directly to Clark’s General Education Competencies.</w:t>
      </w:r>
    </w:p>
    <w:p>
      <w:pPr>
        <w:pStyle w:val="BodyText"/>
      </w:pPr>
      <w:r>
        <w:rPr>
          <w:lang w:val="en-US"/>
        </w:rP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8"/>
        </w:numPr>
      </w:pPr>
      <w:r>
        <w:rPr>
          <w:b/>
          <w:bCs/>
          <w:lang w:val="en-US"/>
        </w:rPr>
        <w:t xml:space="preserve">Critical Thinking 3</w:t>
      </w:r>
      <w:r>
        <w:rPr>
          <w:lang w:val="en-US"/>
        </w:rPr>
        <w:t xml:space="preserve"> </w:t>
      </w:r>
      <w:r>
        <w:rPr>
          <w:lang w:val="en-US"/>
        </w:rPr>
        <w:t xml:space="preserve">— Formulate well-reasoned arguments supported by evidence</w:t>
      </w:r>
    </w:p>
    <w:p>
      <w:pPr>
        <w:pStyle w:val="Compact"/>
        <w:numPr>
          <w:ilvl w:val="0"/>
          <w:numId w:val="1008"/>
        </w:numPr>
      </w:pPr>
      <w:r>
        <w:rPr>
          <w:b/>
          <w:bCs/>
          <w:lang w:val="en-US"/>
        </w:rPr>
        <w:t xml:space="preserve">Critical Thinking 4</w:t>
      </w:r>
      <w:r>
        <w:rPr>
          <w:lang w:val="en-US"/>
        </w:rPr>
        <w:t xml:space="preserve"> </w:t>
      </w:r>
      <w:r>
        <w:rPr>
          <w:lang w:val="en-US"/>
        </w:rPr>
        <w:t xml:space="preserve">— Apply creative thinking skills to generate new ideas and solve problems</w:t>
      </w:r>
    </w:p>
    <w:p>
      <w:pPr>
        <w:pStyle w:val="Compact"/>
        <w:numPr>
          <w:ilvl w:val="0"/>
          <w:numId w:val="1008"/>
        </w:numPr>
      </w:pPr>
      <w:r>
        <w:rPr>
          <w:b/>
          <w:bCs/>
          <w:lang w:val="en-US"/>
        </w:rPr>
        <w:t xml:space="preserve">Problem-Solving 1</w:t>
      </w:r>
      <w:r>
        <w:rPr>
          <w:lang w:val="en-US"/>
        </w:rPr>
        <w:t xml:space="preserve"> </w:t>
      </w:r>
      <w:r>
        <w:rPr>
          <w:lang w:val="en-US"/>
        </w:rPr>
        <w:t xml:space="preserve">— Accurately define a problem</w:t>
      </w:r>
    </w:p>
    <w:p>
      <w:pPr>
        <w:pStyle w:val="Compact"/>
        <w:numPr>
          <w:ilvl w:val="0"/>
          <w:numId w:val="1008"/>
        </w:numPr>
      </w:pPr>
      <w:r>
        <w:rPr>
          <w:b/>
          <w:bCs/>
          <w:lang w:val="en-US"/>
        </w:rPr>
        <w:t xml:space="preserve">Communication 3</w:t>
      </w:r>
      <w:r>
        <w:rPr>
          <w:lang w:val="en-US"/>
        </w:rPr>
        <w:t xml:space="preserve"> </w:t>
      </w:r>
      <w:r>
        <w:rPr>
          <w:lang w:val="en-US"/>
        </w:rPr>
        <w:t xml:space="preserve">— Apply communication skills and concepts to real-world situations</w:t>
      </w:r>
    </w:p>
    <w:p>
      <w:pPr>
        <w:pStyle w:val="Compact"/>
        <w:numPr>
          <w:ilvl w:val="0"/>
          <w:numId w:val="1008"/>
        </w:numPr>
      </w:pPr>
      <w:r>
        <w:rPr>
          <w:b/>
          <w:bCs/>
          <w:lang w:val="en-US"/>
        </w:rPr>
        <w:t xml:space="preserve">Civic &amp; Global Consciousness 1</w:t>
      </w:r>
      <w:r>
        <w:rPr>
          <w:lang w:val="en-US"/>
        </w:rPr>
        <w:t xml:space="preserve"> </w:t>
      </w:r>
      <w:r>
        <w:rPr>
          <w:lang w:val="en-US"/>
        </w:rPr>
        <w:t xml:space="preserve">— Explain global issues, considering various perspectives</w:t>
      </w:r>
    </w:p>
    <w:p>
      <w:pPr>
        <w:pStyle w:val="Compact"/>
        <w:numPr>
          <w:ilvl w:val="0"/>
          <w:numId w:val="1008"/>
        </w:numPr>
      </w:pPr>
      <w:r>
        <w:rPr>
          <w:b/>
          <w:bCs/>
          <w:lang w:val="en-US"/>
        </w:rPr>
        <w:t xml:space="preserve">Civic &amp; Global Consciousness 3</w:t>
      </w:r>
      <w:r>
        <w:rPr>
          <w:lang w:val="en-US"/>
        </w:rPr>
        <w:t xml:space="preserve"> </w:t>
      </w:r>
      <w:r>
        <w:rPr>
          <w:lang w:val="en-US"/>
        </w:rPr>
        <w:t xml:space="preserve">— Identify the requirements of responsible civic engagement</w:t>
      </w:r>
    </w:p>
    <w:p>
      <w:pPr>
        <w:pStyle w:val="FirstParagraph"/>
      </w:pPr>
      <w:r>
        <w:rPr>
          <w:lang w:val="en-US"/>
        </w:rPr>
        <w:t xml:space="preserve">Student learning outcomes are the skills and abilities that you are working to acquire, practice, and apply in class. They represent the learning goals for the term.</w:t>
      </w:r>
    </w:p>
    <w:p>
      <w:pPr>
        <w:pStyle w:val="BodyText"/>
      </w:pPr>
      <w:r>
        <w:rPr>
          <w:b/>
          <w:bCs/>
          <w:lang w:val="en-US"/>
        </w:rPr>
        <w:t xml:space="preserve">Upon successful completion of this course, students will be able to:</w:t>
      </w:r>
    </w:p>
    <w:p>
      <w:pPr>
        <w:pStyle w:val="Compact"/>
        <w:numPr>
          <w:ilvl w:val="0"/>
          <w:numId w:val="1009"/>
        </w:numPr>
      </w:pPr>
      <w:r>
        <w:rPr>
          <w:b/>
          <w:bCs/>
          <w:lang w:val="en-US"/>
        </w:rPr>
        <w:t xml:space="preserve">CLO1:</w:t>
      </w:r>
      <w:r>
        <w:rPr>
          <w:lang w:val="en-US"/>
        </w:rPr>
        <w:t xml:space="preserve"> </w:t>
      </w:r>
      <w:r>
        <w:rPr>
          <w:lang w:val="en-US"/>
        </w:rPr>
        <w:t xml:space="preserve">Apply fundamental rules of functional group reactivity, including acidity, oxidation and isomerism, to analyze chemical processes and assess their relevance to ecosystem and metabolic health.</w:t>
      </w:r>
    </w:p>
    <w:p>
      <w:pPr>
        <w:pStyle w:val="Compact"/>
        <w:numPr>
          <w:ilvl w:val="0"/>
          <w:numId w:val="1009"/>
        </w:numPr>
      </w:pPr>
      <w:r>
        <w:rPr>
          <w:b/>
          <w:bCs/>
          <w:lang w:val="en-US"/>
        </w:rPr>
        <w:t xml:space="preserve">CLO2:</w:t>
      </w:r>
      <w:r>
        <w:rPr>
          <w:lang w:val="en-US"/>
        </w:rPr>
        <w:t xml:space="preserve"> </w:t>
      </w:r>
      <w:r>
        <w:rPr>
          <w:lang w:val="en-US"/>
        </w:rPr>
        <w:t xml:space="preserve">Compare and contrast the intermolecular and intramolecular forces that influence the shape and function of carbohydrates, lipids, proteins, and nucleic acids, and evaluate their implications for human health and disease.</w:t>
      </w:r>
    </w:p>
    <w:p>
      <w:pPr>
        <w:pStyle w:val="Compact"/>
        <w:numPr>
          <w:ilvl w:val="0"/>
          <w:numId w:val="1009"/>
        </w:numPr>
      </w:pPr>
      <w:r>
        <w:rPr>
          <w:b/>
          <w:bCs/>
          <w:lang w:val="en-US"/>
        </w:rPr>
        <w:t xml:space="preserve">CLO3:</w:t>
      </w:r>
      <w:r>
        <w:rPr>
          <w:lang w:val="en-US"/>
        </w:rPr>
        <w:t xml:space="preserve"> </w:t>
      </w:r>
      <w:r>
        <w:rPr>
          <w:lang w:val="en-US"/>
        </w:rPr>
        <w:t xml:space="preserve">Analyze and evaluate contextual problems related to organic and biological molecules by applying critical thinking skills to propose effective solutions that address climate and public health challenges.</w:t>
      </w:r>
    </w:p>
    <w:p>
      <w:pPr>
        <w:pStyle w:val="Compact"/>
        <w:numPr>
          <w:ilvl w:val="0"/>
          <w:numId w:val="1009"/>
        </w:numPr>
      </w:pPr>
      <w:r>
        <w:rPr>
          <w:b/>
          <w:bCs/>
          <w:lang w:val="en-US"/>
        </w:rPr>
        <w:t xml:space="preserve">CLO4:</w:t>
      </w:r>
      <w:r>
        <w:rPr>
          <w:lang w:val="en-US"/>
        </w:rPr>
        <w:t xml:space="preserve"> </w:t>
      </w:r>
      <w:r>
        <w:rPr>
          <w:lang w:val="en-US"/>
        </w:rPr>
        <w:t xml:space="preserve">Compose opinions, interpretations, and solid evidence regarding chemical systems and determine their impact on society in everyday life.</w:t>
      </w:r>
    </w:p>
    <w:p>
      <w:pPr>
        <w:pStyle w:val="FirstParagraph"/>
      </w:pPr>
      <w:r>
        <w:rPr>
          <w:lang w:val="en-US"/>
        </w:rP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Course Outcomes</w:t>
            </w:r>
          </w:p>
        </w:tc>
        <w:tc>
          <w:tcPr/>
          <w:p>
            <w:pPr>
              <w:pStyle w:val="Compact"/>
            </w:pPr>
            <w:r>
              <w:rPr>
                <w:lang w:val="en-US"/>
              </w:rPr>
              <w:t xml:space="preserve">Assessment of Course Outcomes</w:t>
            </w:r>
          </w:p>
        </w:tc>
      </w:tr>
      <w:tr>
        <w:trPr>
          <w:cantSplit/>
        </w:trPr>
        <w:tc>
          <w:tcPr/>
          <w:p>
            <w:pPr>
              <w:pStyle w:val="Compact"/>
            </w:pPr>
            <w:r>
              <w:rPr>
                <w:lang w:val="en-US"/>
              </w:rPr>
              <w:t xml:space="preserve">CLO1</w:t>
            </w:r>
          </w:p>
        </w:tc>
        <w:tc>
          <w:tcPr/>
          <w:p>
            <w:pPr>
              <w:pStyle w:val="Compact"/>
            </w:pPr>
            <w:r>
              <w:rPr>
                <w:lang w:val="en-US"/>
              </w:rPr>
              <w:t xml:space="preserve">ALEKS Problem Sets, 3-2-1 Team Posts, Lab Experiments, OOL Discussions, Final TYC Project</w:t>
            </w:r>
          </w:p>
        </w:tc>
      </w:tr>
      <w:tr>
        <w:trPr>
          <w:cantSplit/>
        </w:trPr>
        <w:tc>
          <w:tcPr/>
          <w:p>
            <w:pPr>
              <w:pStyle w:val="Compact"/>
            </w:pPr>
            <w:r>
              <w:rPr>
                <w:lang w:val="en-US"/>
              </w:rPr>
              <w:t xml:space="preserve">CLO2</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CLO3</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CLO4</w:t>
            </w:r>
          </w:p>
        </w:tc>
        <w:tc>
          <w:tcPr/>
          <w:p>
            <w:pPr>
              <w:pStyle w:val="Compact"/>
            </w:pPr>
            <w:r>
              <w:rPr>
                <w:lang w:val="en-US"/>
              </w:rPr>
              <w:t xml:space="preserve">OOL Discussions, Lab Experiments, Final TYC Project</w:t>
            </w:r>
          </w:p>
        </w:tc>
      </w:tr>
    </w:tbl>
    <w:bookmarkEnd w:id="33"/>
    <w:bookmarkStart w:id="40" w:name="how-will-i-be-graded-and-why"/>
    <w:p>
      <w:pPr>
        <w:pStyle w:val="Heading1"/>
      </w:pPr>
      <w:r>
        <w:rPr>
          <w:lang w:val="en-US"/>
        </w:rPr>
        <w:t xml:space="preserve">How Will I Be Graded, and Why?</w:t>
      </w:r>
    </w:p>
    <w:p>
      <w:pPr>
        <w:pStyle w:val="FirstParagraph"/>
      </w:pPr>
      <w:r>
        <w:rPr>
          <w:i/>
          <w:iCs/>
          <w:lang w:val="en-US"/>
        </w:rPr>
        <w:t xml:space="preserve">TL;DR: 3-2-1 Team Posts 15% · OOL Discussions 15% · Lab Experiments 25% · Quizzes 20% · ALEKS Problem Sets 15% · Final TYC Project 10%. Here’s why those weights, and the full breakdown.</w:t>
      </w:r>
    </w:p>
    <w:p>
      <w:pPr>
        <w:pStyle w:val="BodyText"/>
      </w:pPr>
      <w:r>
        <w:rPr>
          <w:lang w:val="en-US"/>
        </w:rP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rPr>
          <w:lang w:val="en-US"/>
        </w:rP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Category</w:t>
            </w:r>
          </w:p>
        </w:tc>
        <w:tc>
          <w:tcPr/>
          <w:p>
            <w:pPr>
              <w:pStyle w:val="Compact"/>
            </w:pPr>
            <w:r>
              <w:rPr>
                <w:lang w:val="en-US"/>
              </w:rPr>
              <w:t xml:space="preserve">Weight</w:t>
            </w:r>
          </w:p>
        </w:tc>
        <w:tc>
          <w:tcPr/>
          <w:p>
            <w:pPr>
              <w:pStyle w:val="Compact"/>
            </w:pPr>
            <w:r>
              <w:rPr>
                <w:lang w:val="en-US"/>
              </w:rPr>
              <w:t xml:space="preserve">What it is</w:t>
            </w:r>
          </w:p>
        </w:tc>
      </w:tr>
      <w:tr>
        <w:trPr>
          <w:cantSplit/>
        </w:trPr>
        <w:tc>
          <w:tcPr/>
          <w:p>
            <w:pPr>
              <w:pStyle w:val="Compact"/>
            </w:pPr>
            <w:r>
              <w:rPr>
                <w:lang w:val="en-US"/>
              </w:rPr>
              <w:t xml:space="preserve">3-2-1 Team Posts</w:t>
            </w:r>
          </w:p>
        </w:tc>
        <w:tc>
          <w:tcPr/>
          <w:p>
            <w:pPr>
              <w:pStyle w:val="Compact"/>
            </w:pPr>
            <w:r>
              <w:rPr>
                <w:lang w:val="en-US"/>
              </w:rPr>
              <w:t xml:space="preserve">15%</w:t>
            </w:r>
          </w:p>
        </w:tc>
        <w:tc>
          <w:tcPr/>
          <w:p>
            <w:pPr>
              <w:pStyle w:val="Compact"/>
            </w:pPr>
            <w:r>
              <w:rPr>
                <w:lang w:val="en-US"/>
              </w:rPr>
              <w:t xml:space="preserve">Weekly 3-2-1 Team Discussions — lecture Activities completed and uploaded, plus your engagement with your team</w:t>
            </w:r>
          </w:p>
        </w:tc>
      </w:tr>
      <w:tr>
        <w:trPr>
          <w:cantSplit/>
        </w:trPr>
        <w:tc>
          <w:tcPr/>
          <w:p>
            <w:pPr>
              <w:pStyle w:val="Compact"/>
            </w:pPr>
            <w:r>
              <w:rPr>
                <w:lang w:val="en-US"/>
              </w:rPr>
              <w:t xml:space="preserve">OOL Discussions</w:t>
            </w:r>
          </w:p>
        </w:tc>
        <w:tc>
          <w:tcPr/>
          <w:p>
            <w:pPr>
              <w:pStyle w:val="Compact"/>
            </w:pPr>
            <w:r>
              <w:rPr>
                <w:lang w:val="en-US"/>
              </w:rPr>
              <w:t xml:space="preserve">15%</w:t>
            </w:r>
          </w:p>
        </w:tc>
        <w:tc>
          <w:tcPr/>
          <w:p>
            <w:pPr>
              <w:pStyle w:val="Compact"/>
            </w:pPr>
            <w:r>
              <w:rPr>
                <w:lang w:val="en-US"/>
              </w:rPr>
              <w:t xml:space="preserve">Weekly Outside-of-Lecture discussion post and replies</w:t>
            </w:r>
          </w:p>
        </w:tc>
      </w:tr>
      <w:tr>
        <w:trPr>
          <w:cantSplit/>
        </w:trPr>
        <w:tc>
          <w:tcPr/>
          <w:p>
            <w:pPr>
              <w:pStyle w:val="Compact"/>
            </w:pPr>
            <w:r>
              <w:rPr>
                <w:lang w:val="en-US"/>
              </w:rPr>
              <w:t xml:space="preserve">Lab Experiments</w:t>
            </w:r>
          </w:p>
        </w:tc>
        <w:tc>
          <w:tcPr/>
          <w:p>
            <w:pPr>
              <w:pStyle w:val="Compact"/>
            </w:pPr>
            <w:r>
              <w:rPr>
                <w:lang w:val="en-US"/>
              </w:rPr>
              <w:t xml:space="preserve">25%</w:t>
            </w:r>
          </w:p>
        </w:tc>
        <w:tc>
          <w:tcPr/>
          <w:p>
            <w:pPr>
              <w:pStyle w:val="Compact"/>
            </w:pPr>
            <w:r>
              <w:rPr>
                <w:lang w:val="en-US"/>
              </w:rPr>
              <w:t xml:space="preserve">Weekly on-campus labs — Background, Methods, Results, Findings, and Conclusions (100 points per lab)</w:t>
            </w:r>
          </w:p>
        </w:tc>
      </w:tr>
      <w:tr>
        <w:trPr>
          <w:cantSplit/>
        </w:trPr>
        <w:tc>
          <w:tcPr/>
          <w:p>
            <w:pPr>
              <w:pStyle w:val="Compact"/>
            </w:pPr>
            <w:r>
              <w:rPr>
                <w:lang w:val="en-US"/>
              </w:rPr>
              <w:t xml:space="preserve">Quizzes</w:t>
            </w:r>
          </w:p>
        </w:tc>
        <w:tc>
          <w:tcPr/>
          <w:p>
            <w:pPr>
              <w:pStyle w:val="Compact"/>
            </w:pPr>
            <w:r>
              <w:rPr>
                <w:lang w:val="en-US"/>
              </w:rPr>
              <w:t xml:space="preserve">20%</w:t>
            </w:r>
          </w:p>
        </w:tc>
        <w:tc>
          <w:tcPr/>
          <w:p>
            <w:pPr>
              <w:pStyle w:val="Compact"/>
            </w:pPr>
            <w:r>
              <w:rPr>
                <w:lang w:val="en-US"/>
              </w:rPr>
              <w:t xml:space="preserve">In-person, given during lab (Weeks 4, 6, 8, and 10 — Week 10 carries both Quiz 4 and Quiz 5)</w:t>
            </w:r>
          </w:p>
        </w:tc>
      </w:tr>
      <w:tr>
        <w:trPr>
          <w:cantSplit/>
        </w:trPr>
        <w:tc>
          <w:tcPr/>
          <w:p>
            <w:pPr>
              <w:pStyle w:val="Compact"/>
            </w:pPr>
            <w:r>
              <w:rPr>
                <w:lang w:val="en-US"/>
              </w:rPr>
              <w:t xml:space="preserve">ALEKS Problem Sets</w:t>
            </w:r>
          </w:p>
        </w:tc>
        <w:tc>
          <w:tcPr/>
          <w:p>
            <w:pPr>
              <w:pStyle w:val="Compact"/>
            </w:pPr>
            <w:r>
              <w:rPr>
                <w:lang w:val="en-US"/>
              </w:rPr>
              <w:t xml:space="preserve">15%</w:t>
            </w:r>
          </w:p>
        </w:tc>
        <w:tc>
          <w:tcPr/>
          <w:p>
            <w:pPr>
              <w:pStyle w:val="Compact"/>
            </w:pPr>
            <w:r>
              <w:rPr>
                <w:lang w:val="en-US"/>
              </w:rPr>
              <w:t xml:space="preserve">Online adaptive homework for content practice</w:t>
            </w:r>
          </w:p>
        </w:tc>
      </w:tr>
      <w:tr>
        <w:trPr>
          <w:cantSplit/>
        </w:trPr>
        <w:tc>
          <w:tcPr/>
          <w:p>
            <w:pPr>
              <w:pStyle w:val="Compact"/>
            </w:pPr>
            <w:r>
              <w:rPr>
                <w:lang w:val="en-US"/>
              </w:rPr>
              <w:t xml:space="preserve">Final TYC Project</w:t>
            </w:r>
          </w:p>
        </w:tc>
        <w:tc>
          <w:tcPr/>
          <w:p>
            <w:pPr>
              <w:pStyle w:val="Compact"/>
            </w:pPr>
            <w:r>
              <w:rPr>
                <w:lang w:val="en-US"/>
              </w:rPr>
              <w:t xml:space="preserve">10%</w:t>
            </w:r>
          </w:p>
        </w:tc>
        <w:tc>
          <w:tcPr/>
          <w:p>
            <w:pPr>
              <w:pStyle w:val="Compact"/>
            </w:pPr>
            <w:r>
              <w:rPr>
                <w:lang w:val="en-US"/>
              </w:rPr>
              <w:t xml:space="preserve">Teach Your Community project — no final exam – details in the TYC Canvas module</w:t>
            </w:r>
          </w:p>
        </w:tc>
      </w:tr>
    </w:tbl>
    <w:p>
      <w:pPr>
        <w:pStyle w:val="BodyText"/>
      </w:pPr>
      <w:r>
        <w:rPr>
          <w:b/>
          <w:bCs/>
          <w:lang w:val="en-US"/>
        </w:rPr>
        <w:t xml:space="preserve">You must earn at least 65% in every one of the six grading categories above to pass this course — not just an overall passing average.</w:t>
      </w:r>
      <w:r>
        <w:rPr>
          <w:lang w:val="en-US"/>
        </w:rPr>
        <w:t xml:space="preserve"> </w:t>
      </w:r>
      <w:r>
        <w:rPr>
          <w:lang w:val="en-US"/>
        </w:rPr>
        <w:t xml:space="preserve">Falling below 65% in any single category, even with a passing overall grade, means you cannot pass.</w:t>
      </w:r>
    </w:p>
    <w:bookmarkEnd w:id="34"/>
    <w:bookmarkStart w:id="35" w:name="about-the-lab-requirement"/>
    <w:p>
      <w:pPr>
        <w:pStyle w:val="Heading2"/>
      </w:pPr>
      <w:r>
        <w:rPr>
          <w:lang w:val="en-US"/>
        </w:rPr>
        <w:t xml:space="preserve">About the Lab Requirement</w:t>
      </w:r>
    </w:p>
    <w:p>
      <w:pPr>
        <w:pStyle w:val="FirstParagraph"/>
      </w:pPr>
      <w:r>
        <w:rPr>
          <w:lang w:val="en-US"/>
        </w:rP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10"/>
        </w:numPr>
      </w:pPr>
      <w:r>
        <w:rPr>
          <w:lang w:val="en-US"/>
        </w:rP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10"/>
        </w:numPr>
      </w:pPr>
      <w:r>
        <w:rPr>
          <w:lang w:val="en-US"/>
        </w:rP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10"/>
        </w:numPr>
      </w:pPr>
      <w:r>
        <w:rPr>
          <w:lang w:val="en-US"/>
        </w:rPr>
        <w:t xml:space="preserve">If you miss two experiments, the second missed lab is scored zero.</w:t>
      </w:r>
    </w:p>
    <w:p>
      <w:pPr>
        <w:pStyle w:val="Compact"/>
        <w:numPr>
          <w:ilvl w:val="0"/>
          <w:numId w:val="1010"/>
        </w:numPr>
      </w:pPr>
      <w:r>
        <w:rPr>
          <w:lang w:val="en-US"/>
        </w:rPr>
        <w:t xml:space="preserve">Missing three weeks of lab, or having two incomplete labs, means you cannot pass the course.</w:t>
      </w:r>
    </w:p>
    <w:bookmarkEnd w:id="35"/>
    <w:bookmarkStart w:id="36" w:name="grading-scale"/>
    <w:p>
      <w:pPr>
        <w:pStyle w:val="Heading2"/>
      </w:pPr>
      <w:r>
        <w:rPr>
          <w:lang w:val="en-US"/>
        </w:rPr>
        <w:t xml:space="preserve">Grading Scale</w:t>
      </w:r>
    </w:p>
    <w:p>
      <w:pPr>
        <w:pStyle w:val="FirstParagraph"/>
      </w:pPr>
      <w:r>
        <w:rPr>
          <w:lang w:val="en-US"/>
        </w:rPr>
        <w:t xml:space="preserve">Note: Clark does not award C-, D+, or D- in this course — a C- does not transfer, so grading stops at a clean C, then D, then F.</w:t>
      </w:r>
    </w:p>
    <w:tbl>
      <w:tblPr>
        <w:tblStyle w:val="Table"/>
        <w:tblW w:type="pct" w:w="2750"/>
        <w:tblLayout w:type="fixed"/>
        <w:tblLook w:firstRow="1" w:lastRow="0" w:firstColumn="0" w:lastColumn="0" w:noHBand="0" w:noVBand="0" w:val="0020"/>
      </w:tblPr>
      <w:tblGrid>
        <w:gridCol w:w="2772"/>
        <w:gridCol w:w="1584"/>
      </w:tblGrid>
      <w:tr>
        <w:trPr>
          <w:tblHeader w:val="on"/>
        </w:trPr>
        <w:tc>
          <w:tcPr/>
          <w:p>
            <w:pPr>
              <w:pStyle w:val="Compact"/>
              <w:jc w:val="left"/>
            </w:pPr>
            <w:r>
              <w:rPr>
                <w:lang w:val="en-US"/>
              </w:rPr>
              <w:t xml:space="preserve">Percent</w:t>
            </w:r>
          </w:p>
        </w:tc>
        <w:tc>
          <w:tcPr/>
          <w:p>
            <w:pPr>
              <w:pStyle w:val="Compact"/>
              <w:jc w:val="left"/>
            </w:pPr>
            <w:r>
              <w:rPr>
                <w:lang w:val="en-US"/>
              </w:rPr>
              <w:t xml:space="preserve">Grade</w:t>
            </w:r>
          </w:p>
        </w:tc>
      </w:tr>
      <w:tr>
        <w:trPr>
          <w:cantSplit/>
        </w:trPr>
        <w:tc>
          <w:tcPr/>
          <w:p>
            <w:pPr>
              <w:pStyle w:val="Compact"/>
              <w:jc w:val="left"/>
            </w:pPr>
            <w:r>
              <w:rPr>
                <w:lang w:val="en-US"/>
              </w:rPr>
              <w:t xml:space="preserve">93 up to 100</w:t>
            </w:r>
          </w:p>
        </w:tc>
        <w:tc>
          <w:tcPr/>
          <w:p>
            <w:pPr>
              <w:pStyle w:val="Compact"/>
              <w:jc w:val="left"/>
            </w:pPr>
            <w:r>
              <w:rPr>
                <w:lang w:val="en-US"/>
              </w:rPr>
              <w:t xml:space="preserve">A</w:t>
            </w:r>
          </w:p>
        </w:tc>
      </w:tr>
      <w:tr>
        <w:trPr>
          <w:cantSplit/>
        </w:trPr>
        <w:tc>
          <w:tcPr/>
          <w:p>
            <w:pPr>
              <w:pStyle w:val="Compact"/>
              <w:jc w:val="left"/>
            </w:pPr>
            <w:r>
              <w:rPr>
                <w:lang w:val="en-US"/>
              </w:rPr>
              <w:t xml:space="preserve">90 up to 93</w:t>
            </w:r>
          </w:p>
        </w:tc>
        <w:tc>
          <w:tcPr/>
          <w:p>
            <w:pPr>
              <w:pStyle w:val="Compact"/>
              <w:jc w:val="left"/>
            </w:pPr>
            <w:r>
              <w:rPr>
                <w:lang w:val="en-US"/>
              </w:rPr>
              <w:t xml:space="preserve">A-</w:t>
            </w:r>
          </w:p>
        </w:tc>
      </w:tr>
      <w:tr>
        <w:trPr>
          <w:cantSplit/>
        </w:trPr>
        <w:tc>
          <w:tcPr/>
          <w:p>
            <w:pPr>
              <w:pStyle w:val="Compact"/>
              <w:jc w:val="left"/>
            </w:pPr>
            <w:r>
              <w:rPr>
                <w:lang w:val="en-US"/>
              </w:rPr>
              <w:t xml:space="preserve">87 up to 90</w:t>
            </w:r>
          </w:p>
        </w:tc>
        <w:tc>
          <w:tcPr/>
          <w:p>
            <w:pPr>
              <w:pStyle w:val="Compact"/>
              <w:jc w:val="left"/>
            </w:pPr>
            <w:r>
              <w:rPr>
                <w:lang w:val="en-US"/>
              </w:rPr>
              <w:t xml:space="preserve">B+</w:t>
            </w:r>
          </w:p>
        </w:tc>
      </w:tr>
      <w:tr>
        <w:trPr>
          <w:cantSplit/>
        </w:trPr>
        <w:tc>
          <w:tcPr/>
          <w:p>
            <w:pPr>
              <w:pStyle w:val="Compact"/>
              <w:jc w:val="left"/>
            </w:pPr>
            <w:r>
              <w:rPr>
                <w:lang w:val="en-US"/>
              </w:rPr>
              <w:t xml:space="preserve">83 up to 87</w:t>
            </w:r>
          </w:p>
        </w:tc>
        <w:tc>
          <w:tcPr/>
          <w:p>
            <w:pPr>
              <w:pStyle w:val="Compact"/>
              <w:jc w:val="left"/>
            </w:pPr>
            <w:r>
              <w:rPr>
                <w:lang w:val="en-US"/>
              </w:rPr>
              <w:t xml:space="preserve">B</w:t>
            </w:r>
          </w:p>
        </w:tc>
      </w:tr>
      <w:tr>
        <w:trPr>
          <w:cantSplit/>
        </w:trPr>
        <w:tc>
          <w:tcPr/>
          <w:p>
            <w:pPr>
              <w:pStyle w:val="Compact"/>
              <w:jc w:val="left"/>
            </w:pPr>
            <w:r>
              <w:rPr>
                <w:lang w:val="en-US"/>
              </w:rPr>
              <w:t xml:space="preserve">80 up to 83</w:t>
            </w:r>
          </w:p>
        </w:tc>
        <w:tc>
          <w:tcPr/>
          <w:p>
            <w:pPr>
              <w:pStyle w:val="Compact"/>
              <w:jc w:val="left"/>
            </w:pPr>
            <w:r>
              <w:rPr>
                <w:lang w:val="en-US"/>
              </w:rPr>
              <w:t xml:space="preserve">B-</w:t>
            </w:r>
          </w:p>
        </w:tc>
      </w:tr>
      <w:tr>
        <w:trPr>
          <w:cantSplit/>
        </w:trPr>
        <w:tc>
          <w:tcPr/>
          <w:p>
            <w:pPr>
              <w:pStyle w:val="Compact"/>
              <w:jc w:val="left"/>
            </w:pPr>
            <w:r>
              <w:rPr>
                <w:lang w:val="en-US"/>
              </w:rPr>
              <w:t xml:space="preserve">77 up to 80</w:t>
            </w:r>
          </w:p>
        </w:tc>
        <w:tc>
          <w:tcPr/>
          <w:p>
            <w:pPr>
              <w:pStyle w:val="Compact"/>
              <w:jc w:val="left"/>
            </w:pPr>
            <w:r>
              <w:rPr>
                <w:lang w:val="en-US"/>
              </w:rPr>
              <w:t xml:space="preserve">C+</w:t>
            </w:r>
          </w:p>
        </w:tc>
      </w:tr>
      <w:tr>
        <w:trPr>
          <w:cantSplit/>
        </w:trPr>
        <w:tc>
          <w:tcPr/>
          <w:p>
            <w:pPr>
              <w:pStyle w:val="Compact"/>
              <w:jc w:val="left"/>
            </w:pPr>
            <w:r>
              <w:rPr>
                <w:lang w:val="en-US"/>
              </w:rPr>
              <w:t xml:space="preserve">73 up to 77</w:t>
            </w:r>
          </w:p>
        </w:tc>
        <w:tc>
          <w:tcPr/>
          <w:p>
            <w:pPr>
              <w:pStyle w:val="Compact"/>
              <w:jc w:val="left"/>
            </w:pPr>
            <w:r>
              <w:rPr>
                <w:lang w:val="en-US"/>
              </w:rPr>
              <w:t xml:space="preserve">C</w:t>
            </w:r>
          </w:p>
        </w:tc>
      </w:tr>
      <w:tr>
        <w:trPr>
          <w:cantSplit/>
        </w:trPr>
        <w:tc>
          <w:tcPr/>
          <w:p>
            <w:pPr>
              <w:pStyle w:val="Compact"/>
              <w:jc w:val="left"/>
            </w:pPr>
            <w:r>
              <w:rPr>
                <w:lang w:val="en-US"/>
              </w:rPr>
              <w:t xml:space="preserve">60 up to 73</w:t>
            </w:r>
          </w:p>
        </w:tc>
        <w:tc>
          <w:tcPr/>
          <w:p>
            <w:pPr>
              <w:pStyle w:val="Compact"/>
              <w:jc w:val="left"/>
            </w:pPr>
            <w:r>
              <w:rPr>
                <w:lang w:val="en-US"/>
              </w:rPr>
              <w:t xml:space="preserve">D</w:t>
            </w:r>
          </w:p>
        </w:tc>
      </w:tr>
      <w:tr>
        <w:trPr>
          <w:cantSplit/>
        </w:trPr>
        <w:tc>
          <w:tcPr/>
          <w:p>
            <w:pPr>
              <w:pStyle w:val="Compact"/>
              <w:jc w:val="left"/>
            </w:pPr>
            <w:r>
              <w:rPr>
                <w:lang w:val="en-US"/>
              </w:rPr>
              <w:t xml:space="preserve">0 up to 60</w:t>
            </w:r>
          </w:p>
        </w:tc>
        <w:tc>
          <w:tcPr/>
          <w:p>
            <w:pPr>
              <w:pStyle w:val="Compact"/>
              <w:jc w:val="left"/>
            </w:pPr>
            <w:r>
              <w:rPr>
                <w:lang w:val="en-US"/>
              </w:rPr>
              <w:t xml:space="preserve">F</w:t>
            </w:r>
          </w:p>
        </w:tc>
      </w:tr>
    </w:tbl>
    <w:bookmarkEnd w:id="36"/>
    <w:bookmarkStart w:id="37" w:name="late-work"/>
    <w:p>
      <w:pPr>
        <w:pStyle w:val="Heading2"/>
      </w:pPr>
      <w:r>
        <w:rPr>
          <w:lang w:val="en-US"/>
        </w:rPr>
        <w:t xml:space="preserve">Late Work</w:t>
      </w:r>
    </w:p>
    <w:p>
      <w:pPr>
        <w:pStyle w:val="FirstParagraph"/>
      </w:pPr>
      <w:r>
        <w:rPr>
          <w:lang w:val="en-US"/>
        </w:rPr>
        <w:t xml:space="preserve">Life happens during an academic term. I trust you know your situation and I don’t need an explanation. My position is to support your learning and your success.</w:t>
      </w:r>
    </w:p>
    <w:p>
      <w:pPr>
        <w:pStyle w:val="Compact"/>
        <w:numPr>
          <w:ilvl w:val="0"/>
          <w:numId w:val="1011"/>
        </w:numPr>
      </w:pPr>
      <w:r>
        <w:rPr>
          <w:lang w:val="en-US"/>
        </w:rPr>
        <w:t xml:space="preserve">All assignments remain open after the due date, losing 1% per hour until worth zero points (approximately 5 days). Assignments can still be submitted after this, but the score will be zero.</w:t>
      </w:r>
    </w:p>
    <w:p>
      <w:pPr>
        <w:pStyle w:val="Compact"/>
        <w:numPr>
          <w:ilvl w:val="0"/>
          <w:numId w:val="1011"/>
        </w:numPr>
      </w:pPr>
      <w:r>
        <w:rPr>
          <w:lang w:val="en-US"/>
        </w:rPr>
        <w:t xml:space="preserve">In-person lab attendance and the Final TYC Project have no grace period.</w:t>
      </w:r>
    </w:p>
    <w:p>
      <w:pPr>
        <w:pStyle w:val="Compact"/>
        <w:numPr>
          <w:ilvl w:val="0"/>
          <w:numId w:val="1011"/>
        </w:numPr>
      </w:pPr>
      <w:r>
        <w:rPr>
          <w:lang w:val="en-US"/>
        </w:rPr>
        <w:t xml:space="preserve">No due dates extend beyond the course end date.</w:t>
      </w:r>
    </w:p>
    <w:p>
      <w:pPr>
        <w:pStyle w:val="Compact"/>
        <w:numPr>
          <w:ilvl w:val="0"/>
          <w:numId w:val="1011"/>
        </w:numPr>
      </w:pPr>
      <w:r>
        <w:rPr>
          <w:lang w:val="en-US"/>
        </w:rPr>
        <w:t xml:space="preserve">If something requiring a prolonged absence occurs, contact me via Canvas Inbox and let’s see what solutions are possible.</w:t>
      </w:r>
    </w:p>
    <w:bookmarkEnd w:id="37"/>
    <w:bookmarkStart w:id="38" w:name="feedback"/>
    <w:p>
      <w:pPr>
        <w:pStyle w:val="Heading2"/>
      </w:pPr>
      <w:r>
        <w:rPr>
          <w:lang w:val="en-US"/>
        </w:rPr>
        <w:t xml:space="preserve">Feedback</w:t>
      </w:r>
    </w:p>
    <w:p>
      <w:pPr>
        <w:pStyle w:val="FirstParagraph"/>
      </w:pPr>
      <w:r>
        <w:rPr>
          <w:lang w:val="en-US"/>
        </w:rPr>
        <w:t xml:space="preserve">Discussions and other work are graded within 48 hours of each due date.</w:t>
      </w:r>
    </w:p>
    <w:bookmarkEnd w:id="38"/>
    <w:bookmarkStart w:id="39" w:name="revision"/>
    <w:p>
      <w:pPr>
        <w:pStyle w:val="Heading2"/>
      </w:pPr>
      <w:r>
        <w:rPr>
          <w:lang w:val="en-US"/>
        </w:rPr>
        <w:t xml:space="preserve">Revision</w:t>
      </w:r>
    </w:p>
    <w:p>
      <w:pPr>
        <w:pStyle w:val="FirstParagraph"/>
      </w:pPr>
      <w:r>
        <w:rPr>
          <w:lang w:val="en-US"/>
        </w:rP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rPr>
          <w:lang w:val="en-US"/>
        </w:rPr>
        <w:t xml:space="preserve">What Resources and Support Services Are Available to Me?</w:t>
      </w:r>
    </w:p>
    <w:p>
      <w:pPr>
        <w:pStyle w:val="FirstParagraph"/>
      </w:pPr>
      <w:r>
        <w:rPr>
          <w:i/>
          <w:iCs/>
          <w:lang w:val="en-US"/>
        </w:rPr>
        <w:t xml:space="preserve">TL;DR: Tech Hub for Canvas/software problems, Tutoring or Librarians for coursework help, Basic Needs Hub if life is making this term hard.</w:t>
      </w:r>
    </w:p>
    <w:bookmarkStart w:id="46" w:name="technical-support"/>
    <w:p>
      <w:pPr>
        <w:pStyle w:val="Heading2"/>
      </w:pPr>
      <w:r>
        <w:rPr>
          <w:lang w:val="en-US"/>
        </w:rP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1">
              <w:r>
                <w:rPr>
                  <w:rStyle w:val="Hyperlink"/>
                  <w:b/>
                  <w:bCs/>
                  <w:lang w:val="en-US"/>
                </w:rPr>
                <w:t xml:space="preserve">Tech Hub</w:t>
              </w:r>
            </w:hyperlink>
          </w:p>
        </w:tc>
        <w:tc>
          <w:tcPr/>
          <w:p>
            <w:pPr>
              <w:pStyle w:val="Compact"/>
            </w:pPr>
            <w:r>
              <w:rPr>
                <w:lang w:val="en-US"/>
              </w:rPr>
              <w:t xml:space="preserve">Canvas, software, or account trouble —</w:t>
            </w:r>
            <w:r>
              <w:rPr>
                <w:lang w:val="en-US"/>
              </w:rPr>
              <w:t xml:space="preserve"> </w:t>
            </w:r>
            <w:hyperlink r:id="rId42">
              <w:r>
                <w:rPr>
                  <w:rStyle w:val="Hyperlink"/>
                  <w:lang w:val="en-US"/>
                </w:rPr>
                <w:t xml:space="preserve">Scarpelli Hall 135</w:t>
              </w:r>
            </w:hyperlink>
            <w:r>
              <w:rPr>
                <w:lang w:val="en-US"/>
              </w:rPr>
              <w:t xml:space="preserve"> </w:t>
            </w:r>
            <w:r>
              <w:rPr>
                <w:lang w:val="en-US"/>
              </w:rPr>
              <w:t xml:space="preserve">·</w:t>
            </w:r>
            <w:r>
              <w:rPr>
                <w:lang w:val="en-US"/>
              </w:rPr>
              <w:t xml:space="preserve"> </w:t>
            </w:r>
            <w:hyperlink r:id="rId43">
              <w:r>
                <w:rPr>
                  <w:rStyle w:val="Hyperlink"/>
                  <w:lang w:val="en-US"/>
                </w:rPr>
                <w:t xml:space="preserve">techhub@clark.edu</w:t>
              </w:r>
            </w:hyperlink>
            <w:r>
              <w:rPr>
                <w:lang w:val="en-US"/>
              </w:rPr>
              <w:t xml:space="preserve"> </w:t>
            </w:r>
            <w:r>
              <w:rPr>
                <w:lang w:val="en-US"/>
              </w:rPr>
              <w:t xml:space="preserve">· 360-992-2010</w:t>
            </w:r>
          </w:p>
        </w:tc>
      </w:tr>
      <w:tr>
        <w:trPr>
          <w:cantSplit/>
        </w:trPr>
        <w:tc>
          <w:tcPr/>
          <w:p>
            <w:pPr>
              <w:pStyle w:val="Compact"/>
            </w:pPr>
            <w:r>
              <w:rPr>
                <w:b/>
                <w:bCs/>
                <w:lang w:val="en-US"/>
              </w:rPr>
              <w:t xml:space="preserve">To report a Canvas problem</w:t>
            </w:r>
          </w:p>
        </w:tc>
        <w:tc>
          <w:tcPr/>
          <w:p>
            <w:pPr>
              <w:pStyle w:val="Compact"/>
            </w:pPr>
            <w:r>
              <w:rPr>
                <w:lang w:val="en-US"/>
              </w:rPr>
              <w:t xml:space="preserve">The Help button in Canvas →</w:t>
            </w:r>
            <w:r>
              <w:rPr>
                <w:lang w:val="en-US"/>
              </w:rPr>
              <w:t xml:space="preserve"> </w:t>
            </w:r>
            <w:r>
              <w:rPr>
                <w:lang w:val="en-US"/>
              </w:rPr>
              <w:t xml:space="preserve">“Report a Problem”</w:t>
            </w:r>
            <w:r>
              <w:rPr>
                <w:lang w:val="en-US"/>
              </w:rPr>
              <w:t xml:space="preserve"> </w:t>
            </w:r>
            <w:r>
              <w:rPr>
                <w:lang w:val="en-US"/>
              </w:rPr>
              <w:t xml:space="preserve">(replies come to your Clark Gmail) ·</w:t>
            </w:r>
            <w:r>
              <w:rPr>
                <w:lang w:val="en-US"/>
              </w:rPr>
              <w:t xml:space="preserve"> </w:t>
            </w:r>
            <w:hyperlink r:id="rId44">
              <w:r>
                <w:rPr>
                  <w:rStyle w:val="Hyperlink"/>
                  <w:lang w:val="en-US"/>
                </w:rPr>
                <w:t xml:space="preserve">Canvas Guides</w:t>
              </w:r>
            </w:hyperlink>
            <w:r>
              <w:rPr>
                <w:lang w:val="en-US"/>
              </w:rPr>
              <w:t xml:space="preserve"> </w:t>
            </w:r>
            <w:r>
              <w:rPr>
                <w:lang w:val="en-US"/>
              </w:rPr>
              <w:t xml:space="preserve">·</w:t>
            </w:r>
            <w:r>
              <w:rPr>
                <w:lang w:val="en-US"/>
              </w:rPr>
              <w:t xml:space="preserve"> </w:t>
            </w:r>
            <w:hyperlink r:id="rId45">
              <w:r>
                <w:rPr>
                  <w:rStyle w:val="Hyperlink"/>
                  <w:lang w:val="en-US"/>
                </w:rPr>
                <w:t xml:space="preserve">Student Guide</w:t>
              </w:r>
            </w:hyperlink>
          </w:p>
        </w:tc>
      </w:tr>
      <w:tr>
        <w:trPr>
          <w:cantSplit/>
        </w:trPr>
        <w:tc>
          <w:tcPr/>
          <w:p>
            <w:pPr>
              <w:pStyle w:val="Compact"/>
            </w:pPr>
            <w:r>
              <w:rPr>
                <w:b/>
                <w:bCs/>
                <w:lang w:val="en-US"/>
              </w:rPr>
              <w:t xml:space="preserve">Setup help</w:t>
            </w:r>
          </w:p>
        </w:tc>
        <w:tc>
          <w:tcPr/>
          <w:p>
            <w:pPr>
              <w:pStyle w:val="Compact"/>
            </w:pPr>
            <w:r>
              <w:rPr>
                <w:lang w:val="en-US"/>
              </w:rP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rPr>
          <w:lang w:val="en-US"/>
        </w:rP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7">
              <w:r>
                <w:rPr>
                  <w:rStyle w:val="Hyperlink"/>
                  <w:b/>
                  <w:bCs/>
                  <w:lang w:val="en-US"/>
                </w:rPr>
                <w:t xml:space="preserve">Student Success Coaches</w:t>
              </w:r>
            </w:hyperlink>
          </w:p>
        </w:tc>
        <w:tc>
          <w:tcPr/>
          <w:p>
            <w:pPr>
              <w:pStyle w:val="Compact"/>
            </w:pPr>
            <w:r>
              <w:rPr>
                <w:lang w:val="en-US"/>
              </w:rPr>
              <w:t xml:space="preserve">One-on-one coaching for study/organization skills, emotional and personal support, and connections to college resources. PUB 002 or Zoom.</w:t>
            </w:r>
          </w:p>
        </w:tc>
      </w:tr>
      <w:tr>
        <w:trPr>
          <w:cantSplit/>
        </w:trPr>
        <w:tc>
          <w:tcPr/>
          <w:p>
            <w:pPr>
              <w:pStyle w:val="Compact"/>
            </w:pPr>
            <w:hyperlink r:id="rId48">
              <w:r>
                <w:rPr>
                  <w:rStyle w:val="Hyperlink"/>
                  <w:b/>
                  <w:bCs/>
                  <w:lang w:val="en-US"/>
                </w:rPr>
                <w:t xml:space="preserve">Clark College Tutoring Services</w:t>
              </w:r>
            </w:hyperlink>
          </w:p>
        </w:tc>
        <w:tc>
          <w:tcPr/>
          <w:p>
            <w:pPr>
              <w:pStyle w:val="Compact"/>
            </w:pPr>
            <w:r>
              <w:rPr>
                <w:lang w:val="en-US"/>
              </w:rPr>
              <w:t xml:space="preserve">In-person and virtual tutoring via Zoom; see the</w:t>
            </w:r>
            <w:r>
              <w:rPr>
                <w:lang w:val="en-US"/>
              </w:rPr>
              <w:t xml:space="preserve"> </w:t>
            </w:r>
            <w:hyperlink r:id="rId49">
              <w:r>
                <w:rPr>
                  <w:rStyle w:val="Hyperlink"/>
                  <w:lang w:val="en-US"/>
                </w:rPr>
                <w:t xml:space="preserve">Virtual Tutoring Center</w:t>
              </w:r>
            </w:hyperlink>
            <w:r>
              <w:rPr>
                <w:lang w:val="en-US"/>
              </w:rPr>
              <w:t xml:space="preserve"> </w:t>
            </w:r>
            <w:r>
              <w:rPr>
                <w:lang w:val="en-US"/>
              </w:rPr>
              <w:t xml:space="preserve">Canvas course;</w:t>
            </w:r>
            <w:r>
              <w:rPr>
                <w:lang w:val="en-US"/>
              </w:rPr>
              <w:t xml:space="preserve"> </w:t>
            </w:r>
            <w:hyperlink r:id="rId50">
              <w:r>
                <w:rPr>
                  <w:rStyle w:val="Hyperlink"/>
                  <w:lang w:val="en-US"/>
                </w:rPr>
                <w:t xml:space="preserve">eTutoringOnline.org</w:t>
              </w:r>
            </w:hyperlink>
            <w:r>
              <w:rPr>
                <w:lang w:val="en-US"/>
              </w:rPr>
              <w:t xml:space="preserve"> </w:t>
            </w:r>
            <w:r>
              <w:rPr>
                <w:lang w:val="en-US"/>
              </w:rPr>
              <w:t xml:space="preserve">for additional online writing lab support.</w:t>
            </w:r>
          </w:p>
        </w:tc>
      </w:tr>
      <w:tr>
        <w:trPr>
          <w:cantSplit/>
        </w:trPr>
        <w:tc>
          <w:tcPr/>
          <w:p>
            <w:pPr>
              <w:pStyle w:val="Compact"/>
            </w:pPr>
            <w:hyperlink r:id="rId51">
              <w:r>
                <w:rPr>
                  <w:rStyle w:val="Hyperlink"/>
                  <w:b/>
                  <w:bCs/>
                  <w:lang w:val="en-US"/>
                </w:rPr>
                <w:t xml:space="preserve">Clark College Librarians</w:t>
              </w:r>
            </w:hyperlink>
          </w:p>
        </w:tc>
        <w:tc>
          <w:tcPr/>
          <w:p>
            <w:pPr>
              <w:pStyle w:val="Compact"/>
            </w:pPr>
            <w:r>
              <w:rPr>
                <w:lang w:val="en-US"/>
              </w:rPr>
              <w:t xml:space="preserve">One-on-one help with research projects and source citations, in person or by</w:t>
            </w:r>
            <w:r>
              <w:rPr>
                <w:lang w:val="en-US"/>
              </w:rPr>
              <w:t xml:space="preserve"> </w:t>
            </w:r>
            <w:hyperlink r:id="rId52">
              <w:r>
                <w:rPr>
                  <w:rStyle w:val="Hyperlink"/>
                  <w:lang w:val="en-US"/>
                </w:rPr>
                <w:t xml:space="preserve">chat</w:t>
              </w:r>
            </w:hyperlink>
            <w:r>
              <w:rPr>
                <w:lang w:val="en-US"/>
              </w:rPr>
              <w:t xml:space="preserve">.</w:t>
            </w:r>
          </w:p>
        </w:tc>
      </w:tr>
    </w:tbl>
    <w:bookmarkEnd w:id="53"/>
    <w:bookmarkStart w:id="71" w:name="student-support"/>
    <w:p>
      <w:pPr>
        <w:pStyle w:val="Heading2"/>
      </w:pPr>
      <w:r>
        <w:rPr>
          <w:lang w:val="en-US"/>
        </w:rP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54">
              <w:r>
                <w:rPr>
                  <w:rStyle w:val="Hyperlink"/>
                  <w:b/>
                  <w:bCs/>
                  <w:lang w:val="en-US"/>
                </w:rPr>
                <w:t xml:space="preserve">Counseling and Health Center</w:t>
              </w:r>
            </w:hyperlink>
          </w:p>
        </w:tc>
        <w:tc>
          <w:tcPr/>
          <w:p>
            <w:pPr>
              <w:pStyle w:val="Compact"/>
            </w:pPr>
            <w:r>
              <w:rPr>
                <w:lang w:val="en-US"/>
              </w:rPr>
              <w:t xml:space="preserve">Physical and mental health services to support student wellness and academic success.</w:t>
            </w:r>
          </w:p>
        </w:tc>
      </w:tr>
      <w:tr>
        <w:trPr>
          <w:cantSplit/>
        </w:trPr>
        <w:tc>
          <w:tcPr/>
          <w:p>
            <w:pPr>
              <w:pStyle w:val="Compact"/>
            </w:pPr>
            <w:hyperlink r:id="rId55">
              <w:r>
                <w:rPr>
                  <w:rStyle w:val="Hyperlink"/>
                  <w:b/>
                  <w:bCs/>
                  <w:lang w:val="en-US"/>
                </w:rPr>
                <w:t xml:space="preserve">Office of People and Culture (OPC)</w:t>
              </w:r>
            </w:hyperlink>
          </w:p>
        </w:tc>
        <w:tc>
          <w:tcPr/>
          <w:p>
            <w:pPr>
              <w:pStyle w:val="Compact"/>
            </w:pPr>
            <w:r>
              <w:rPr>
                <w:lang w:val="en-US"/>
              </w:rPr>
              <w:t xml:space="preserve">Supports systemically non-dominant groups navigating Clark College; the</w:t>
            </w:r>
            <w:r>
              <w:rPr>
                <w:lang w:val="en-US"/>
              </w:rPr>
              <w:t xml:space="preserve"> </w:t>
            </w:r>
            <w:hyperlink r:id="rId56">
              <w:r>
                <w:rPr>
                  <w:rStyle w:val="Hyperlink"/>
                  <w:lang w:val="en-US"/>
                </w:rPr>
                <w:t xml:space="preserve">Diversity Center</w:t>
              </w:r>
            </w:hyperlink>
            <w:r>
              <w:rPr>
                <w:lang w:val="en-US"/>
              </w:rPr>
              <w:t xml:space="preserve"> </w:t>
            </w:r>
            <w:r>
              <w:rPr>
                <w:lang w:val="en-US"/>
              </w:rPr>
              <w:t xml:space="preserve">is a great place to visit between classes.</w:t>
            </w:r>
          </w:p>
        </w:tc>
      </w:tr>
      <w:tr>
        <w:trPr>
          <w:cantSplit/>
        </w:trPr>
        <w:tc>
          <w:tcPr/>
          <w:p>
            <w:pPr>
              <w:pStyle w:val="Compact"/>
            </w:pPr>
            <w:hyperlink r:id="rId57">
              <w:r>
                <w:rPr>
                  <w:rStyle w:val="Hyperlink"/>
                  <w:b/>
                  <w:bCs/>
                  <w:lang w:val="en-US"/>
                </w:rPr>
                <w:t xml:space="preserve">Penguin Pantry</w:t>
              </w:r>
            </w:hyperlink>
          </w:p>
        </w:tc>
        <w:tc>
          <w:tcPr/>
          <w:p>
            <w:pPr>
              <w:pStyle w:val="Compact"/>
            </w:pPr>
            <w:r>
              <w:rPr>
                <w:lang w:val="en-US"/>
              </w:rPr>
              <w:t xml:space="preserve">Monthly pre-packaged food boxes. Contact Cath Busha, Dean of Student Engagement (</w:t>
            </w:r>
            <w:hyperlink r:id="rId58">
              <w:r>
                <w:rPr>
                  <w:rStyle w:val="Hyperlink"/>
                  <w:lang w:val="en-US"/>
                </w:rPr>
                <w:t xml:space="preserve">cbusha@clark.edu</w:t>
              </w:r>
            </w:hyperlink>
            <w:r>
              <w:rPr>
                <w:lang w:val="en-US"/>
              </w:rPr>
              <w:t xml:space="preserve">).</w:t>
            </w:r>
          </w:p>
        </w:tc>
      </w:tr>
      <w:tr>
        <w:trPr>
          <w:cantSplit/>
        </w:trPr>
        <w:tc>
          <w:tcPr/>
          <w:p>
            <w:pPr>
              <w:pStyle w:val="Compact"/>
            </w:pPr>
            <w:hyperlink r:id="rId59">
              <w:r>
                <w:rPr>
                  <w:rStyle w:val="Hyperlink"/>
                  <w:b/>
                  <w:bCs/>
                  <w:lang w:val="en-US"/>
                </w:rPr>
                <w:t xml:space="preserve">Basic Needs Hub</w:t>
              </w:r>
            </w:hyperlink>
          </w:p>
        </w:tc>
        <w:tc>
          <w:tcPr/>
          <w:p>
            <w:pPr>
              <w:pStyle w:val="Compact"/>
            </w:pPr>
            <w:r>
              <w:rPr>
                <w:lang w:val="en-US"/>
              </w:rPr>
              <w:t xml:space="preserve">Help with food, housing, and financial challenges —</w:t>
            </w:r>
            <w:r>
              <w:rPr>
                <w:lang w:val="en-US"/>
              </w:rPr>
              <w:t xml:space="preserve"> </w:t>
            </w:r>
            <w:hyperlink r:id="rId60">
              <w:r>
                <w:rPr>
                  <w:rStyle w:val="Hyperlink"/>
                  <w:lang w:val="en-US"/>
                </w:rPr>
                <w:t xml:space="preserve">intake form</w:t>
              </w:r>
            </w:hyperlink>
            <w:r>
              <w:rPr>
                <w:lang w:val="en-US"/>
              </w:rPr>
              <w:t xml:space="preserve">. basicneeds@clark.edu · 360-992-2766 · Gaiser Hall (GHL) 216.</w:t>
            </w:r>
          </w:p>
        </w:tc>
      </w:tr>
      <w:tr>
        <w:trPr>
          <w:cantSplit/>
        </w:trPr>
        <w:tc>
          <w:tcPr/>
          <w:p>
            <w:pPr>
              <w:pStyle w:val="Compact"/>
            </w:pPr>
            <w:hyperlink r:id="rId61">
              <w:r>
                <w:rPr>
                  <w:rStyle w:val="Hyperlink"/>
                  <w:b/>
                  <w:bCs/>
                  <w:lang w:val="en-US"/>
                </w:rPr>
                <w:t xml:space="preserve">Advising Services</w:t>
              </w:r>
            </w:hyperlink>
          </w:p>
        </w:tc>
        <w:tc>
          <w:tcPr/>
          <w:p>
            <w:pPr>
              <w:pStyle w:val="Compact"/>
            </w:pPr>
            <w:r>
              <w:rPr>
                <w:lang w:val="en-US"/>
              </w:rPr>
              <w:t xml:space="preserve">Co-create academic plans aligned with your career and personal goals —</w:t>
            </w:r>
            <w:r>
              <w:rPr>
                <w:lang w:val="en-US"/>
              </w:rPr>
              <w:t xml:space="preserve"> </w:t>
            </w:r>
            <w:hyperlink r:id="rId62">
              <w:r>
                <w:rPr>
                  <w:rStyle w:val="Hyperlink"/>
                  <w:lang w:val="en-US"/>
                </w:rPr>
                <w:t xml:space="preserve">schedule an appointment</w:t>
              </w:r>
            </w:hyperlink>
            <w:r>
              <w:rPr>
                <w:lang w:val="en-US"/>
              </w:rPr>
              <w:t xml:space="preserve">.</w:t>
            </w:r>
          </w:p>
        </w:tc>
      </w:tr>
      <w:tr>
        <w:trPr>
          <w:cantSplit/>
        </w:trPr>
        <w:tc>
          <w:tcPr/>
          <w:p>
            <w:pPr>
              <w:pStyle w:val="Compact"/>
            </w:pPr>
            <w:hyperlink r:id="rId63">
              <w:r>
                <w:rPr>
                  <w:rStyle w:val="Hyperlink"/>
                  <w:b/>
                  <w:bCs/>
                  <w:lang w:val="en-US"/>
                </w:rPr>
                <w:t xml:space="preserve">Career Services</w:t>
              </w:r>
            </w:hyperlink>
          </w:p>
        </w:tc>
        <w:tc>
          <w:tcPr/>
          <w:p>
            <w:pPr>
              <w:pStyle w:val="Compact"/>
            </w:pPr>
            <w:r>
              <w:rPr>
                <w:lang w:val="en-US"/>
              </w:rPr>
              <w:t xml:space="preserve">Resources and strategies for career and employment goals. 360-992-2902 ·</w:t>
            </w:r>
            <w:r>
              <w:rPr>
                <w:lang w:val="en-US"/>
              </w:rPr>
              <w:t xml:space="preserve"> </w:t>
            </w:r>
            <w:hyperlink r:id="rId64">
              <w:r>
                <w:rPr>
                  <w:rStyle w:val="Hyperlink"/>
                  <w:lang w:val="en-US"/>
                </w:rPr>
                <w:t xml:space="preserve">careerservices@clark.edu</w:t>
              </w:r>
            </w:hyperlink>
          </w:p>
        </w:tc>
      </w:tr>
      <w:tr>
        <w:trPr>
          <w:cantSplit/>
        </w:trPr>
        <w:tc>
          <w:tcPr/>
          <w:p>
            <w:pPr>
              <w:pStyle w:val="Compact"/>
            </w:pPr>
            <w:hyperlink r:id="rId65">
              <w:r>
                <w:rPr>
                  <w:rStyle w:val="Hyperlink"/>
                  <w:b/>
                  <w:bCs/>
                  <w:lang w:val="en-US"/>
                </w:rPr>
                <w:t xml:space="preserve">Veterans Center of Excellence</w:t>
              </w:r>
            </w:hyperlink>
          </w:p>
        </w:tc>
        <w:tc>
          <w:tcPr/>
          <w:p>
            <w:pPr>
              <w:pStyle w:val="Compact"/>
            </w:pPr>
            <w:r>
              <w:rPr>
                <w:lang w:val="en-US"/>
              </w:rPr>
              <w:t xml:space="preserve">Resources, community, and support for U.S. military service members.</w:t>
            </w:r>
            <w:r>
              <w:rPr>
                <w:lang w:val="en-US"/>
              </w:rPr>
              <w:t xml:space="preserve"> </w:t>
            </w:r>
            <w:hyperlink r:id="rId66">
              <w:r>
                <w:rPr>
                  <w:rStyle w:val="Hyperlink"/>
                  <w:lang w:val="en-US"/>
                </w:rPr>
                <w:t xml:space="preserve">PUB 015</w:t>
              </w:r>
            </w:hyperlink>
            <w:r>
              <w:rPr>
                <w:lang w:val="en-US"/>
              </w:rPr>
              <w:t xml:space="preserve"> </w:t>
            </w:r>
            <w:r>
              <w:rPr>
                <w:lang w:val="en-US"/>
              </w:rPr>
              <w:t xml:space="preserve">· 360-992-2073 ·</w:t>
            </w:r>
            <w:r>
              <w:rPr>
                <w:lang w:val="en-US"/>
              </w:rPr>
              <w:t xml:space="preserve"> </w:t>
            </w:r>
            <w:hyperlink r:id="rId67">
              <w:r>
                <w:rPr>
                  <w:rStyle w:val="Hyperlink"/>
                  <w:lang w:val="en-US"/>
                </w:rPr>
                <w:t xml:space="preserve">Vetresources@clark.edu</w:t>
              </w:r>
            </w:hyperlink>
          </w:p>
        </w:tc>
      </w:tr>
    </w:tbl>
    <w:p>
      <w:pPr>
        <w:pStyle w:val="BodyText"/>
      </w:pPr>
      <w:r>
        <w:rPr>
          <w:lang w:val="en-US"/>
        </w:rPr>
        <w:t xml:space="preserve">You can find all these resources as well as links to the</w:t>
      </w:r>
      <w:r>
        <w:rPr>
          <w:lang w:val="en-US"/>
        </w:rPr>
        <w:t xml:space="preserve"> </w:t>
      </w:r>
      <w:hyperlink r:id="rId25">
        <w:r>
          <w:rPr>
            <w:rStyle w:val="Hyperlink"/>
            <w:lang w:val="en-US"/>
          </w:rPr>
          <w:t xml:space="preserve">Clark bookstore</w:t>
        </w:r>
      </w:hyperlink>
      <w:r>
        <w:rPr>
          <w:lang w:val="en-US"/>
        </w:rPr>
        <w:t xml:space="preserve">,</w:t>
      </w:r>
      <w:r>
        <w:rPr>
          <w:lang w:val="en-US"/>
        </w:rPr>
        <w:t xml:space="preserve"> </w:t>
      </w:r>
      <w:hyperlink r:id="rId68">
        <w:r>
          <w:rPr>
            <w:rStyle w:val="Hyperlink"/>
            <w:lang w:val="en-US"/>
          </w:rPr>
          <w:t xml:space="preserve">C-Tran</w:t>
        </w:r>
      </w:hyperlink>
      <w:r>
        <w:rPr>
          <w:lang w:val="en-US"/>
        </w:rPr>
        <w:t xml:space="preserve">,</w:t>
      </w:r>
      <w:r>
        <w:rPr>
          <w:lang w:val="en-US"/>
        </w:rPr>
        <w:t xml:space="preserve"> </w:t>
      </w:r>
      <w:hyperlink r:id="rId69">
        <w:r>
          <w:rPr>
            <w:rStyle w:val="Hyperlink"/>
            <w:lang w:val="en-US"/>
          </w:rPr>
          <w:t xml:space="preserve">campus maps</w:t>
        </w:r>
      </w:hyperlink>
      <w:r>
        <w:rPr>
          <w:lang w:val="en-US"/>
        </w:rPr>
        <w:t xml:space="preserve">, and campus life and activities at the</w:t>
      </w:r>
      <w:r>
        <w:rPr>
          <w:lang w:val="en-US"/>
        </w:rPr>
        <w:t xml:space="preserve"> </w:t>
      </w:r>
      <w:hyperlink r:id="rId70">
        <w:r>
          <w:rPr>
            <w:rStyle w:val="Hyperlink"/>
            <w:lang w:val="en-US"/>
          </w:rPr>
          <w:t xml:space="preserve">Clark Students website</w:t>
        </w:r>
      </w:hyperlink>
      <w:r>
        <w:rPr>
          <w:lang w:val="en-US"/>
        </w:rPr>
        <w:t xml:space="preserve">.</w:t>
      </w:r>
    </w:p>
    <w:bookmarkEnd w:id="71"/>
    <w:bookmarkEnd w:id="72"/>
    <w:bookmarkStart w:id="73" w:name="how-should-i-get-started-in-class"/>
    <w:p>
      <w:pPr>
        <w:pStyle w:val="Heading1"/>
      </w:pPr>
      <w:r>
        <w:rPr>
          <w:lang w:val="en-US"/>
        </w:rPr>
        <w:t xml:space="preserve">How Should I Get Started in Class?</w:t>
      </w:r>
    </w:p>
    <w:p>
      <w:pPr>
        <w:pStyle w:val="FirstParagraph"/>
      </w:pPr>
      <w:r>
        <w:rPr>
          <w:lang w:val="en-US"/>
        </w:rPr>
        <w:t xml:space="preserve">See Your First Week, near the top of this syllabus, for the exact five things to do before anything else.</w:t>
      </w:r>
    </w:p>
    <w:bookmarkEnd w:id="73"/>
    <w:bookmarkStart w:id="75" w:name="appendix-official-college-policies"/>
    <w:p>
      <w:pPr>
        <w:pStyle w:val="Heading1"/>
      </w:pPr>
      <w:r>
        <w:rPr>
          <w:lang w:val="en-US"/>
        </w:rPr>
        <w:t xml:space="preserve">Appendix: Official College Policies</w:t>
      </w:r>
    </w:p>
    <w:p>
      <w:pPr>
        <w:pStyle w:val="FirstParagraph"/>
      </w:pPr>
      <w:r>
        <w:rPr>
          <w:i/>
          <w:iCs/>
          <w:lang w:val="en-U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2"/>
        </w:numPr>
      </w:pPr>
      <w:r>
        <w:rPr>
          <w:b/>
          <w:bCs/>
          <w:lang w:val="en-US"/>
        </w:rPr>
        <w:t xml:space="preserve">ADA Accommodations</w:t>
      </w:r>
      <w:r>
        <w:rPr>
          <w:lang w:val="en-US"/>
        </w:rPr>
        <w:t xml:space="preserve"> </w:t>
      </w:r>
      <w:r>
        <w:rPr>
          <w:lang w:val="en-US"/>
        </w:rPr>
        <w:t xml:space="preserve">— If a disability or temporary health condition affects your coursework, the</w:t>
      </w:r>
      <w:r>
        <w:rPr>
          <w:lang w:val="en-US"/>
        </w:rPr>
        <w:t xml:space="preserve"> </w:t>
      </w:r>
      <w:hyperlink r:id="rId18">
        <w:r>
          <w:rPr>
            <w:rStyle w:val="Hyperlink"/>
            <w:lang w:val="en-US"/>
          </w:rPr>
          <w:t xml:space="preserve">Disability Access Center</w:t>
        </w:r>
      </w:hyperlink>
      <w:r>
        <w:rPr>
          <w:lang w:val="en-US"/>
        </w:rPr>
        <w:t xml:space="preserve"> </w:t>
      </w:r>
      <w:r>
        <w:rPr>
          <w:lang w:val="en-US"/>
        </w:rPr>
        <w:t xml:space="preserve">can set up accommodations — contact them as early as you can, then let me know within 24 hours so we can plan for this course.</w:t>
      </w:r>
    </w:p>
    <w:p>
      <w:pPr>
        <w:pStyle w:val="Compact"/>
        <w:numPr>
          <w:ilvl w:val="0"/>
          <w:numId w:val="1012"/>
        </w:numPr>
      </w:pPr>
      <w:r>
        <w:rPr>
          <w:b/>
          <w:bCs/>
          <w:lang w:val="en-US"/>
        </w:rPr>
        <w:t xml:space="preserve">Non-discrimination Policy</w:t>
      </w:r>
      <w:r>
        <w:rPr>
          <w:lang w:val="en-US"/>
        </w:rPr>
        <w:t xml:space="preserve"> </w:t>
      </w:r>
      <w:r>
        <w:rPr>
          <w:lang w:val="en-US"/>
        </w:rPr>
        <w:t xml:space="preserve">— Clark prohibits discrimination and harassment against any member of the college community; there’s a formal grievance process through Human Resources if you experience it.</w:t>
      </w:r>
    </w:p>
    <w:p>
      <w:pPr>
        <w:pStyle w:val="Compact"/>
        <w:numPr>
          <w:ilvl w:val="0"/>
          <w:numId w:val="1012"/>
        </w:numPr>
      </w:pPr>
      <w:r>
        <w:rPr>
          <w:b/>
          <w:bCs/>
          <w:lang w:val="en-US"/>
        </w:rPr>
        <w:t xml:space="preserve">Title IX and Sexual Misconduct</w:t>
      </w:r>
      <w:r>
        <w:rPr>
          <w:lang w:val="en-US"/>
        </w:rPr>
        <w:t xml:space="preserve"> </w:t>
      </w:r>
      <w:r>
        <w:rPr>
          <w:lang w:val="en-US"/>
        </w:rPr>
        <w:t xml:space="preserve">— If you or someone you know has experienced sexual misconduct, you’re not alone — support, reporting options, and campus resources are available.</w:t>
      </w:r>
    </w:p>
    <w:p>
      <w:pPr>
        <w:pStyle w:val="Compact"/>
        <w:numPr>
          <w:ilvl w:val="0"/>
          <w:numId w:val="1012"/>
        </w:numPr>
      </w:pPr>
      <w:r>
        <w:rPr>
          <w:b/>
          <w:bCs/>
          <w:lang w:val="en-US"/>
        </w:rPr>
        <w:t xml:space="preserve">Student Rights and Responsibilities</w:t>
      </w:r>
      <w:r>
        <w:rPr>
          <w:lang w:val="en-US"/>
        </w:rPr>
        <w:t xml:space="preserve"> </w:t>
      </w:r>
      <w:r>
        <w:rPr>
          <w:lang w:val="en-US"/>
        </w:rPr>
        <w:t xml:space="preserve">— Covers FERPA, absences for reasons of faith or conscience, and your general rights as a student.</w:t>
      </w:r>
    </w:p>
    <w:p>
      <w:pPr>
        <w:pStyle w:val="FirstParagraph"/>
      </w:pPr>
      <w:r>
        <w:rPr>
          <w:lang w:val="en-US"/>
        </w:rPr>
        <w:t xml:space="preserve">Full policy text for all of the above:</w:t>
      </w:r>
      <w:r>
        <w:rPr>
          <w:lang w:val="en-US"/>
        </w:rPr>
        <w:t xml:space="preserve"> </w:t>
      </w:r>
      <w:hyperlink r:id="rId74">
        <w:r>
          <w:rPr>
            <w:rStyle w:val="Hyperlink"/>
            <w:lang w:val="en-US"/>
          </w:rPr>
          <w:t xml:space="preserve">Clark College Policies Canvas course</w:t>
        </w:r>
      </w:hyperlink>
      <w:r>
        <w:rPr>
          <w:lang w:val="en-US"/>
        </w:rPr>
        <w:t xml:space="preserve">.</w:t>
      </w:r>
    </w:p>
    <w:p>
      <w:r>
        <w:br w:type="page"/>
      </w:r>
    </w:p>
    <w:bookmarkEnd w:id="75"/>
    <w:bookmarkStart w:id="86" w:name="whats-covered"/>
    <w:p>
      <w:pPr>
        <w:pStyle w:val="Heading1"/>
      </w:pPr>
      <w:r>
        <w:rPr>
          <w:lang w:val="en-US"/>
        </w:rPr>
        <w:t xml:space="preserve">What’s Covered</w:t>
      </w:r>
    </w:p>
    <w:p>
      <w:pPr>
        <w:pStyle w:val="FirstParagraph"/>
      </w:pPr>
      <w:r>
        <w:rPr>
          <w:lang w:val="en-US"/>
        </w:rPr>
        <w:t xml:space="preserve">Everything covered in this course, organized by topic and week — useful for comparing against an equivalent course at another institution, and for previewing what’s ahead before the term starts.</w:t>
      </w:r>
    </w:p>
    <w:p>
      <w:pPr>
        <w:pStyle w:val="BodyText"/>
      </w:pPr>
      <w:r>
        <w:rPr>
          <w:i/>
          <w:iCs/>
          <w:lang w:val="en-US"/>
        </w:rPr>
        <w:t xml:space="preserve">Built from the Fall 2026 Chemfolio schedule — first term using this material, so some groupings may shift slightly as the term settles in.</w:t>
      </w:r>
    </w:p>
    <w:bookmarkStart w:id="76" w:name="Xdaaed74c0d414a35cd9746056776c1018f544e9"/>
    <w:p>
      <w:pPr>
        <w:pStyle w:val="Heading2"/>
      </w:pPr>
      <w:r>
        <w:rPr>
          <w:lang w:val="en-US"/>
        </w:rPr>
        <w:t xml:space="preserve">Week 1: Introduction to Organic Molecules and Alkanes</w:t>
      </w:r>
    </w:p>
    <w:p>
      <w:pPr>
        <w:pStyle w:val="FirstParagraph"/>
      </w:pPr>
      <w:r>
        <w:rPr>
          <w:b/>
          <w:bCs/>
          <w:lang w:val="en-US"/>
        </w:rPr>
        <w:t xml:space="preserve">What this week covers:</w:t>
      </w:r>
    </w:p>
    <w:p>
      <w:pPr>
        <w:pStyle w:val="Compact"/>
        <w:numPr>
          <w:ilvl w:val="0"/>
          <w:numId w:val="1013"/>
        </w:numPr>
      </w:pPr>
      <w:r>
        <w:rPr>
          <w:lang w:val="en-US"/>
        </w:rPr>
        <w:t xml:space="preserve">Characteristic features of organic compounds; drawing organic molecules</w:t>
      </w:r>
    </w:p>
    <w:p>
      <w:pPr>
        <w:pStyle w:val="Compact"/>
        <w:numPr>
          <w:ilvl w:val="0"/>
          <w:numId w:val="1013"/>
        </w:numPr>
      </w:pPr>
      <w:r>
        <w:rPr>
          <w:lang w:val="en-US"/>
        </w:rPr>
        <w:t xml:space="preserve">Functional groups; alkanes and alkane nomenclature; cycloalkanes</w:t>
      </w:r>
    </w:p>
    <w:p>
      <w:pPr>
        <w:pStyle w:val="Compact"/>
        <w:numPr>
          <w:ilvl w:val="0"/>
          <w:numId w:val="1013"/>
        </w:numPr>
      </w:pPr>
      <w:r>
        <w:rPr>
          <w:lang w:val="en-US"/>
        </w:rPr>
        <w:t xml:space="preserve">Fossil fuels, physical properties, and combustion of hydrocarbons</w:t>
      </w:r>
    </w:p>
    <w:p>
      <w:pPr>
        <w:pStyle w:val="Compact"/>
        <w:numPr>
          <w:ilvl w:val="0"/>
          <w:numId w:val="1013"/>
        </w:numPr>
      </w:pPr>
      <w:r>
        <w:rPr>
          <w:lang w:val="en-US"/>
        </w:rPr>
        <w:t xml:space="preserve">Lab: Safety orientation; scavenger hunt covering compounds, shapes, and IMFs</w:t>
      </w:r>
    </w:p>
    <w:p>
      <w:pPr>
        <w:pStyle w:val="Compact"/>
        <w:numPr>
          <w:ilvl w:val="0"/>
          <w:numId w:val="1013"/>
        </w:numPr>
      </w:pPr>
      <w:r>
        <w:rPr>
          <w:lang w:val="en-US"/>
        </w:rPr>
        <w:t xml:space="preserve">Required Reading: Smith Ch. 10 (10.1–10.10)</w:t>
      </w:r>
    </w:p>
    <w:p>
      <w:pPr>
        <w:pStyle w:val="Heading3"/>
      </w:pPr>
      <w:r>
        <w:rPr>
          <w:lang w:val="en-US"/>
        </w:rPr>
        <w:t xml:space="preserve">Weekly logistics</w:t>
      </w:r>
    </w:p>
    <w:p>
      <w:pPr>
        <w:pStyle w:val="Compact"/>
        <w:numPr>
          <w:ilvl w:val="0"/>
          <w:numId w:val="1014"/>
        </w:numPr>
      </w:pPr>
      <w:r>
        <w:rPr>
          <w:lang w:val="en-US"/>
        </w:rPr>
        <w:t xml:space="preserve">Activity: A21 (10.1–10.6)</w:t>
      </w:r>
    </w:p>
    <w:p>
      <w:pPr>
        <w:pStyle w:val="Compact"/>
        <w:numPr>
          <w:ilvl w:val="0"/>
          <w:numId w:val="1014"/>
        </w:numPr>
      </w:pPr>
      <w:r>
        <w:rPr>
          <w:lang w:val="en-US"/>
        </w:rPr>
        <w:t xml:space="preserve">Activity: A22 (10.4–10.10)</w:t>
      </w:r>
    </w:p>
    <w:bookmarkEnd w:id="76"/>
    <w:bookmarkStart w:id="77" w:name="X1e70d91167011e1860d80c2b4390e709bc13595"/>
    <w:p>
      <w:pPr>
        <w:pStyle w:val="Heading2"/>
      </w:pPr>
      <w:r>
        <w:rPr>
          <w:lang w:val="en-US"/>
        </w:rPr>
        <w:t xml:space="preserve">Week 2: Alkenes, Alkynes, Aromatics, and Isomers</w:t>
      </w:r>
    </w:p>
    <w:p>
      <w:pPr>
        <w:pStyle w:val="FirstParagraph"/>
      </w:pPr>
      <w:r>
        <w:rPr>
          <w:b/>
          <w:bCs/>
          <w:lang w:val="en-US"/>
        </w:rPr>
        <w:t xml:space="preserve">What this week covers:</w:t>
      </w:r>
    </w:p>
    <w:p>
      <w:pPr>
        <w:pStyle w:val="Compact"/>
        <w:numPr>
          <w:ilvl w:val="0"/>
          <w:numId w:val="1015"/>
        </w:numPr>
      </w:pPr>
      <w:r>
        <w:rPr>
          <w:lang w:val="en-US"/>
        </w:rPr>
        <w:t xml:space="preserve">Alkenes and alkynes; their nomenclature</w:t>
      </w:r>
    </w:p>
    <w:p>
      <w:pPr>
        <w:pStyle w:val="Compact"/>
        <w:numPr>
          <w:ilvl w:val="0"/>
          <w:numId w:val="1015"/>
        </w:numPr>
      </w:pPr>
      <w:r>
        <w:rPr>
          <w:lang w:val="en-US"/>
        </w:rPr>
        <w:t xml:space="preserve">Aromatic compounds; nomenclature of benzene derivatives; sunscreens and antioxidants</w:t>
      </w:r>
    </w:p>
    <w:p>
      <w:pPr>
        <w:pStyle w:val="Compact"/>
        <w:numPr>
          <w:ilvl w:val="0"/>
          <w:numId w:val="1015"/>
        </w:numPr>
      </w:pPr>
      <w:r>
        <w:rPr>
          <w:lang w:val="en-US"/>
        </w:rPr>
        <w:t xml:space="preserve">Constitutional and cis-trans (geometric) isomers; alkane/cycloalkane</w:t>
      </w:r>
      <w:r>
        <w:rPr>
          <w:lang w:val="en-US"/>
        </w:rPr>
        <w:t xml:space="preserve"> </w:t>
      </w:r>
      <w:r>
        <w:rPr>
          <w:lang w:val="en-US"/>
        </w:rPr>
        <w:t xml:space="preserve">naming revisited</w:t>
      </w:r>
    </w:p>
    <w:p>
      <w:pPr>
        <w:pStyle w:val="Compact"/>
        <w:numPr>
          <w:ilvl w:val="0"/>
          <w:numId w:val="1015"/>
        </w:numPr>
      </w:pPr>
      <w:r>
        <w:rPr>
          <w:lang w:val="en-US"/>
        </w:rPr>
        <w:t xml:space="preserve">Lab: Solubility and Oil Spills</w:t>
      </w:r>
    </w:p>
    <w:p>
      <w:pPr>
        <w:pStyle w:val="Compact"/>
        <w:numPr>
          <w:ilvl w:val="0"/>
          <w:numId w:val="1015"/>
        </w:numPr>
      </w:pPr>
      <w:r>
        <w:rPr>
          <w:lang w:val="en-US"/>
        </w:rPr>
        <w:t xml:space="preserve">Required Reading: Smith Ch. 11 (11.1–11.2, 11.3–11.4, 11.8–11.10), Ch. 10 (10.5–10.8)</w:t>
      </w:r>
    </w:p>
    <w:p>
      <w:pPr>
        <w:pStyle w:val="Heading3"/>
      </w:pPr>
      <w:r>
        <w:rPr>
          <w:lang w:val="en-US"/>
        </w:rPr>
        <w:t xml:space="preserve">Weekly logistics</w:t>
      </w:r>
    </w:p>
    <w:p>
      <w:pPr>
        <w:pStyle w:val="Compact"/>
        <w:numPr>
          <w:ilvl w:val="0"/>
          <w:numId w:val="1016"/>
        </w:numPr>
      </w:pPr>
      <w:r>
        <w:rPr>
          <w:lang w:val="en-US"/>
        </w:rPr>
        <w:t xml:space="preserve">Activity: A23 (11.1–11.2, 11.8–11.10)</w:t>
      </w:r>
    </w:p>
    <w:p>
      <w:pPr>
        <w:pStyle w:val="Compact"/>
        <w:numPr>
          <w:ilvl w:val="0"/>
          <w:numId w:val="1016"/>
        </w:numPr>
      </w:pPr>
      <w:r>
        <w:rPr>
          <w:lang w:val="en-US"/>
        </w:rPr>
        <w:t xml:space="preserve">Activity: A24 (10.5–10.8, 11.3–11.4)</w:t>
      </w:r>
    </w:p>
    <w:p>
      <w:pPr>
        <w:pStyle w:val="Compact"/>
        <w:numPr>
          <w:ilvl w:val="0"/>
          <w:numId w:val="1016"/>
        </w:numPr>
      </w:pPr>
      <w:r>
        <w:rPr>
          <w:lang w:val="en-US"/>
        </w:rPr>
        <w:t xml:space="preserve">Writing Workshop 1</w:t>
      </w:r>
    </w:p>
    <w:bookmarkEnd w:id="77"/>
    <w:bookmarkStart w:id="78" w:name="X20dc6ba286218aec3921324f5e7b476a292a6c0"/>
    <w:p>
      <w:pPr>
        <w:pStyle w:val="Heading2"/>
      </w:pPr>
      <w:r>
        <w:rPr>
          <w:lang w:val="en-US"/>
        </w:rPr>
        <w:t xml:space="preserve">Week 3: Alkene Reactions, Polymers, and Alcohols</w:t>
      </w:r>
    </w:p>
    <w:p>
      <w:pPr>
        <w:pStyle w:val="FirstParagraph"/>
      </w:pPr>
      <w:r>
        <w:rPr>
          <w:b/>
          <w:bCs/>
          <w:lang w:val="en-US"/>
        </w:rPr>
        <w:t xml:space="preserve">What this week covers:</w:t>
      </w:r>
    </w:p>
    <w:p>
      <w:pPr>
        <w:pStyle w:val="Compact"/>
        <w:numPr>
          <w:ilvl w:val="0"/>
          <w:numId w:val="1017"/>
        </w:numPr>
      </w:pPr>
      <w:r>
        <w:rPr>
          <w:lang w:val="en-US"/>
        </w:rPr>
        <w:t xml:space="preserve">Reactions of alkenes; polymers; margarine vs. butter</w:t>
      </w:r>
    </w:p>
    <w:p>
      <w:pPr>
        <w:pStyle w:val="Compact"/>
        <w:numPr>
          <w:ilvl w:val="0"/>
          <w:numId w:val="1017"/>
        </w:numPr>
      </w:pPr>
      <w:r>
        <w:rPr>
          <w:lang w:val="en-US"/>
        </w:rPr>
        <w:t xml:space="preserve">Alcohols and ethers — structure, properties, and reactions; alkyl</w:t>
      </w:r>
      <w:r>
        <w:rPr>
          <w:lang w:val="en-US"/>
        </w:rPr>
        <w:t xml:space="preserve"> </w:t>
      </w:r>
      <w:r>
        <w:rPr>
          <w:lang w:val="en-US"/>
        </w:rPr>
        <w:t xml:space="preserve">halides; thiols</w:t>
      </w:r>
    </w:p>
    <w:p>
      <w:pPr>
        <w:pStyle w:val="Compact"/>
        <w:numPr>
          <w:ilvl w:val="0"/>
          <w:numId w:val="1017"/>
        </w:numPr>
      </w:pPr>
      <w:r>
        <w:rPr>
          <w:lang w:val="en-US"/>
        </w:rPr>
        <w:t xml:space="preserve">Lab: Plastics and Nurdles</w:t>
      </w:r>
    </w:p>
    <w:p>
      <w:pPr>
        <w:pStyle w:val="Compact"/>
        <w:numPr>
          <w:ilvl w:val="0"/>
          <w:numId w:val="1017"/>
        </w:numPr>
      </w:pPr>
      <w:r>
        <w:rPr>
          <w:lang w:val="en-US"/>
        </w:rPr>
        <w:t xml:space="preserve">Library Visit 1</w:t>
      </w:r>
    </w:p>
    <w:p>
      <w:pPr>
        <w:pStyle w:val="Compact"/>
        <w:numPr>
          <w:ilvl w:val="0"/>
          <w:numId w:val="1017"/>
        </w:numPr>
      </w:pPr>
      <w:r>
        <w:rPr>
          <w:lang w:val="en-US"/>
        </w:rPr>
        <w:t xml:space="preserve">Required Reading: Smith Ch. 11 (11.5–11.7), Ch. 12 (12.1–12.7)</w:t>
      </w:r>
    </w:p>
    <w:p>
      <w:pPr>
        <w:pStyle w:val="Heading3"/>
      </w:pPr>
      <w:r>
        <w:rPr>
          <w:lang w:val="en-US"/>
        </w:rPr>
        <w:t xml:space="preserve">Weekly logistics</w:t>
      </w:r>
    </w:p>
    <w:p>
      <w:pPr>
        <w:pStyle w:val="Compact"/>
        <w:numPr>
          <w:ilvl w:val="0"/>
          <w:numId w:val="1018"/>
        </w:numPr>
      </w:pPr>
      <w:r>
        <w:rPr>
          <w:lang w:val="en-US"/>
        </w:rPr>
        <w:t xml:space="preserve">Activity: A25 (11.5–11.7)</w:t>
      </w:r>
    </w:p>
    <w:p>
      <w:pPr>
        <w:pStyle w:val="Compact"/>
        <w:numPr>
          <w:ilvl w:val="0"/>
          <w:numId w:val="1018"/>
        </w:numPr>
      </w:pPr>
      <w:r>
        <w:rPr>
          <w:lang w:val="en-US"/>
        </w:rPr>
        <w:t xml:space="preserve">Activity: A26 (12.1–12.7)</w:t>
      </w:r>
    </w:p>
    <w:bookmarkEnd w:id="78"/>
    <w:bookmarkStart w:id="79" w:name="X095590b2de9a31c48ec0b656737f0f47798712c"/>
    <w:p>
      <w:pPr>
        <w:pStyle w:val="Heading2"/>
      </w:pPr>
      <w:r>
        <w:rPr>
          <w:lang w:val="en-US"/>
        </w:rPr>
        <w:t xml:space="preserve">Week 4: Oxygenated Compounds and Carboxylic Acids</w:t>
      </w:r>
    </w:p>
    <w:p>
      <w:pPr>
        <w:pStyle w:val="FirstParagraph"/>
      </w:pPr>
      <w:r>
        <w:rPr>
          <w:b/>
          <w:bCs/>
          <w:lang w:val="en-US"/>
        </w:rPr>
        <w:t xml:space="preserve">What this week covers:</w:t>
      </w:r>
    </w:p>
    <w:p>
      <w:pPr>
        <w:pStyle w:val="Compact"/>
        <w:numPr>
          <w:ilvl w:val="0"/>
          <w:numId w:val="1019"/>
        </w:numPr>
      </w:pPr>
      <w:r>
        <w:rPr>
          <w:lang w:val="en-US"/>
        </w:rPr>
        <w:t xml:space="preserve">Aldehydes and ketones; oxidation of aldehydes; chirality (Looking</w:t>
      </w:r>
      <w:r>
        <w:rPr>
          <w:lang w:val="en-US"/>
        </w:rPr>
        <w:t xml:space="preserve"> </w:t>
      </w:r>
      <w:r>
        <w:rPr>
          <w:lang w:val="en-US"/>
        </w:rPr>
        <w:t xml:space="preserve">Glass Chemistry); chiral drugs</w:t>
      </w:r>
    </w:p>
    <w:p>
      <w:pPr>
        <w:pStyle w:val="Compact"/>
        <w:numPr>
          <w:ilvl w:val="0"/>
          <w:numId w:val="1019"/>
        </w:numPr>
      </w:pPr>
      <w:r>
        <w:rPr>
          <w:lang w:val="en-US"/>
        </w:rPr>
        <w:t xml:space="preserve">Carboxylic acids and esters — naming, properties, acidity, and reactions</w:t>
      </w:r>
    </w:p>
    <w:p>
      <w:pPr>
        <w:pStyle w:val="Compact"/>
        <w:numPr>
          <w:ilvl w:val="0"/>
          <w:numId w:val="1019"/>
        </w:numPr>
      </w:pPr>
      <w:r>
        <w:rPr>
          <w:lang w:val="en-US"/>
        </w:rPr>
        <w:t xml:space="preserve">Lab: Chirality</w:t>
      </w:r>
    </w:p>
    <w:p>
      <w:pPr>
        <w:pStyle w:val="Compact"/>
        <w:numPr>
          <w:ilvl w:val="0"/>
          <w:numId w:val="1019"/>
        </w:numPr>
      </w:pPr>
      <w:r>
        <w:rPr>
          <w:lang w:val="en-US"/>
        </w:rPr>
        <w:t xml:space="preserve">Required Reading: Smith Ch. 12 (12.8–12.12), Ch. 13 (13.1–13.6)</w:t>
      </w:r>
    </w:p>
    <w:p>
      <w:pPr>
        <w:pStyle w:val="Heading3"/>
      </w:pPr>
      <w:r>
        <w:rPr>
          <w:lang w:val="en-US"/>
        </w:rPr>
        <w:t xml:space="preserve">Weekly logistics</w:t>
      </w:r>
    </w:p>
    <w:p>
      <w:pPr>
        <w:pStyle w:val="Compact"/>
        <w:numPr>
          <w:ilvl w:val="0"/>
          <w:numId w:val="1020"/>
        </w:numPr>
      </w:pPr>
      <w:r>
        <w:rPr>
          <w:lang w:val="en-US"/>
        </w:rPr>
        <w:t xml:space="preserve">Activity: A27 (12.8–12.12)</w:t>
      </w:r>
    </w:p>
    <w:p>
      <w:pPr>
        <w:pStyle w:val="Compact"/>
        <w:numPr>
          <w:ilvl w:val="0"/>
          <w:numId w:val="1020"/>
        </w:numPr>
      </w:pPr>
      <w:r>
        <w:rPr>
          <w:lang w:val="en-US"/>
        </w:rPr>
        <w:t xml:space="preserve">Activity: A28 (13.1–13.6)</w:t>
      </w:r>
    </w:p>
    <w:p>
      <w:pPr>
        <w:pStyle w:val="Compact"/>
        <w:numPr>
          <w:ilvl w:val="0"/>
          <w:numId w:val="1020"/>
        </w:numPr>
      </w:pPr>
      <w:r>
        <w:rPr>
          <w:lang w:val="en-US"/>
        </w:rPr>
        <w:t xml:space="preserve">Also this week: Unit Quiz 1 (Ch. 10 + Ch. 11)</w:t>
      </w:r>
    </w:p>
    <w:bookmarkEnd w:id="79"/>
    <w:bookmarkStart w:id="80" w:name="X25c1a371aa188a36f5bf71394f5db3e2d62433b"/>
    <w:p>
      <w:pPr>
        <w:pStyle w:val="Heading2"/>
      </w:pPr>
      <w:r>
        <w:rPr>
          <w:lang w:val="en-US"/>
        </w:rPr>
        <w:t xml:space="preserve">Week 5: Amines, Amides, and Protein Structure</w:t>
      </w:r>
    </w:p>
    <w:p>
      <w:pPr>
        <w:pStyle w:val="FirstParagraph"/>
      </w:pPr>
      <w:r>
        <w:rPr>
          <w:b/>
          <w:bCs/>
          <w:lang w:val="en-US"/>
        </w:rPr>
        <w:t xml:space="preserve">What this week covers:</w:t>
      </w:r>
    </w:p>
    <w:p>
      <w:pPr>
        <w:pStyle w:val="Compact"/>
        <w:numPr>
          <w:ilvl w:val="0"/>
          <w:numId w:val="1021"/>
        </w:numPr>
      </w:pPr>
      <w:r>
        <w:rPr>
          <w:lang w:val="en-US"/>
        </w:rPr>
        <w:t xml:space="preserve">Amines and amides — structure, basicity, naming</w:t>
      </w:r>
    </w:p>
    <w:p>
      <w:pPr>
        <w:pStyle w:val="Compact"/>
        <w:numPr>
          <w:ilvl w:val="0"/>
          <w:numId w:val="1021"/>
        </w:numPr>
      </w:pPr>
      <w:r>
        <w:rPr>
          <w:lang w:val="en-US"/>
        </w:rPr>
        <w:t xml:space="preserve">Amino acids, acid-base behavior of amino acids, and peptides</w:t>
      </w:r>
    </w:p>
    <w:p>
      <w:pPr>
        <w:pStyle w:val="Compact"/>
        <w:numPr>
          <w:ilvl w:val="0"/>
          <w:numId w:val="1021"/>
        </w:numPr>
      </w:pPr>
      <w:r>
        <w:rPr>
          <w:lang w:val="en-US"/>
        </w:rPr>
        <w:t xml:space="preserve">Lab: Reactions of Functional Groups</w:t>
      </w:r>
    </w:p>
    <w:p>
      <w:pPr>
        <w:pStyle w:val="Compact"/>
        <w:numPr>
          <w:ilvl w:val="0"/>
          <w:numId w:val="1021"/>
        </w:numPr>
      </w:pPr>
      <w:r>
        <w:rPr>
          <w:lang w:val="en-US"/>
        </w:rPr>
        <w:t xml:space="preserve">Library Visit 2</w:t>
      </w:r>
    </w:p>
    <w:p>
      <w:pPr>
        <w:pStyle w:val="Compact"/>
        <w:numPr>
          <w:ilvl w:val="0"/>
          <w:numId w:val="1021"/>
        </w:numPr>
      </w:pPr>
      <w:r>
        <w:rPr>
          <w:lang w:val="en-US"/>
        </w:rPr>
        <w:t xml:space="preserve">Required Reading: Smith Ch. 13 (13.7–13.10), Ch. 16 (16.1–16.6)</w:t>
      </w:r>
    </w:p>
    <w:p>
      <w:pPr>
        <w:pStyle w:val="Heading3"/>
      </w:pPr>
      <w:r>
        <w:rPr>
          <w:lang w:val="en-US"/>
        </w:rPr>
        <w:t xml:space="preserve">Weekly logistics</w:t>
      </w:r>
    </w:p>
    <w:p>
      <w:pPr>
        <w:pStyle w:val="Compact"/>
        <w:numPr>
          <w:ilvl w:val="0"/>
          <w:numId w:val="1022"/>
        </w:numPr>
      </w:pPr>
      <w:r>
        <w:rPr>
          <w:lang w:val="en-US"/>
        </w:rPr>
        <w:t xml:space="preserve">Activity: A29 (13.7–13.10)</w:t>
      </w:r>
    </w:p>
    <w:p>
      <w:pPr>
        <w:pStyle w:val="Compact"/>
        <w:numPr>
          <w:ilvl w:val="0"/>
          <w:numId w:val="1022"/>
        </w:numPr>
      </w:pPr>
      <w:r>
        <w:rPr>
          <w:lang w:val="en-US"/>
        </w:rPr>
        <w:t xml:space="preserve">Activity: A30 (16.1–16.6)</w:t>
      </w:r>
    </w:p>
    <w:p>
      <w:pPr>
        <w:pStyle w:val="Compact"/>
        <w:numPr>
          <w:ilvl w:val="0"/>
          <w:numId w:val="1022"/>
        </w:numPr>
      </w:pPr>
      <w:r>
        <w:rPr>
          <w:lang w:val="en-US"/>
        </w:rPr>
        <w:t xml:space="preserve">Writing Workshop 2</w:t>
      </w:r>
    </w:p>
    <w:bookmarkEnd w:id="80"/>
    <w:bookmarkStart w:id="81" w:name="X972c9e0617b3b70e941263a88735c36e70df5cd"/>
    <w:p>
      <w:pPr>
        <w:pStyle w:val="Heading2"/>
      </w:pPr>
      <w:r>
        <w:rPr>
          <w:lang w:val="en-US"/>
        </w:rPr>
        <w:t xml:space="preserve">Week 6: Proteins, Enzymes, and Carbohydrates</w:t>
      </w:r>
    </w:p>
    <w:p>
      <w:pPr>
        <w:pStyle w:val="FirstParagraph"/>
      </w:pPr>
      <w:r>
        <w:rPr>
          <w:b/>
          <w:bCs/>
          <w:lang w:val="en-US"/>
        </w:rPr>
        <w:t xml:space="preserve">What this week covers:</w:t>
      </w:r>
    </w:p>
    <w:p>
      <w:pPr>
        <w:pStyle w:val="Compact"/>
        <w:numPr>
          <w:ilvl w:val="0"/>
          <w:numId w:val="1023"/>
        </w:numPr>
      </w:pPr>
      <w:r>
        <w:rPr>
          <w:lang w:val="en-US"/>
        </w:rPr>
        <w:t xml:space="preserve">Common proteins; protein hydrolysis and denaturation; enzymes and</w:t>
      </w:r>
      <w:r>
        <w:rPr>
          <w:lang w:val="en-US"/>
        </w:rPr>
        <w:t xml:space="preserve"> </w:t>
      </w:r>
      <w:r>
        <w:rPr>
          <w:lang w:val="en-US"/>
        </w:rPr>
        <w:t xml:space="preserve">how they work; using enzymes to diagnose and treat disease</w:t>
      </w:r>
    </w:p>
    <w:p>
      <w:pPr>
        <w:pStyle w:val="Compact"/>
        <w:numPr>
          <w:ilvl w:val="0"/>
          <w:numId w:val="1023"/>
        </w:numPr>
      </w:pPr>
      <w:r>
        <w:rPr>
          <w:lang w:val="en-US"/>
        </w:rPr>
        <w:t xml:space="preserve">Monosaccharides and their cyclic forms</w:t>
      </w:r>
    </w:p>
    <w:p>
      <w:pPr>
        <w:pStyle w:val="Compact"/>
        <w:numPr>
          <w:ilvl w:val="0"/>
          <w:numId w:val="1023"/>
        </w:numPr>
      </w:pPr>
      <w:r>
        <w:rPr>
          <w:lang w:val="en-US"/>
        </w:rPr>
        <w:t xml:space="preserve">Lab: Protein Light</w:t>
      </w:r>
    </w:p>
    <w:p>
      <w:pPr>
        <w:pStyle w:val="Compact"/>
        <w:numPr>
          <w:ilvl w:val="0"/>
          <w:numId w:val="1023"/>
        </w:numPr>
      </w:pPr>
      <w:r>
        <w:rPr>
          <w:lang w:val="en-US"/>
        </w:rPr>
        <w:t xml:space="preserve">Required Reading: Smith Ch. 16 (16.7–16.11), Ch. 14 (14.1–14.3)</w:t>
      </w:r>
    </w:p>
    <w:p>
      <w:pPr>
        <w:pStyle w:val="Heading3"/>
      </w:pPr>
      <w:r>
        <w:rPr>
          <w:lang w:val="en-US"/>
        </w:rPr>
        <w:t xml:space="preserve">Weekly logistics</w:t>
      </w:r>
    </w:p>
    <w:p>
      <w:pPr>
        <w:pStyle w:val="Compact"/>
        <w:numPr>
          <w:ilvl w:val="0"/>
          <w:numId w:val="1024"/>
        </w:numPr>
      </w:pPr>
      <w:r>
        <w:rPr>
          <w:lang w:val="en-US"/>
        </w:rPr>
        <w:t xml:space="preserve">Activity: A31 (16.7–16.11)</w:t>
      </w:r>
    </w:p>
    <w:p>
      <w:pPr>
        <w:pStyle w:val="Compact"/>
        <w:numPr>
          <w:ilvl w:val="0"/>
          <w:numId w:val="1024"/>
        </w:numPr>
      </w:pPr>
      <w:r>
        <w:rPr>
          <w:lang w:val="en-US"/>
        </w:rPr>
        <w:t xml:space="preserve">Activity: A32 (14.1–14.3)</w:t>
      </w:r>
    </w:p>
    <w:p>
      <w:pPr>
        <w:pStyle w:val="Compact"/>
        <w:numPr>
          <w:ilvl w:val="0"/>
          <w:numId w:val="1024"/>
        </w:numPr>
      </w:pPr>
      <w:r>
        <w:rPr>
          <w:lang w:val="en-US"/>
        </w:rPr>
        <w:t xml:space="preserve">Also this week: Unit Quiz 2 (organic reactions and functional groups);</w:t>
      </w:r>
      <w:r>
        <w:rPr>
          <w:lang w:val="en-US"/>
        </w:rPr>
        <w:t xml:space="preserve"> </w:t>
      </w:r>
      <w:r>
        <w:rPr>
          <w:lang w:val="en-US"/>
        </w:rPr>
        <w:t xml:space="preserve">Archer Gallery Visit in place of a lab</w:t>
      </w:r>
    </w:p>
    <w:bookmarkEnd w:id="81"/>
    <w:bookmarkStart w:id="82" w:name="week-7-carbohydrates-and-lipids"/>
    <w:p>
      <w:pPr>
        <w:pStyle w:val="Heading2"/>
      </w:pPr>
      <w:r>
        <w:rPr>
          <w:lang w:val="en-US"/>
        </w:rPr>
        <w:t xml:space="preserve">Week 7: Carbohydrates and Lipids</w:t>
      </w:r>
    </w:p>
    <w:p>
      <w:pPr>
        <w:pStyle w:val="FirstParagraph"/>
      </w:pPr>
      <w:r>
        <w:rPr>
          <w:b/>
          <w:bCs/>
          <w:lang w:val="en-US"/>
        </w:rPr>
        <w:t xml:space="preserve">What this week covers:</w:t>
      </w:r>
    </w:p>
    <w:p>
      <w:pPr>
        <w:pStyle w:val="Compact"/>
        <w:numPr>
          <w:ilvl w:val="0"/>
          <w:numId w:val="1025"/>
        </w:numPr>
      </w:pPr>
      <w:r>
        <w:rPr>
          <w:lang w:val="en-US"/>
        </w:rPr>
        <w:t xml:space="preserve">Reactions of monosaccharides; disaccharides; polysaccharides; blood type</w:t>
      </w:r>
    </w:p>
    <w:p>
      <w:pPr>
        <w:pStyle w:val="Compact"/>
        <w:numPr>
          <w:ilvl w:val="0"/>
          <w:numId w:val="1025"/>
        </w:numPr>
      </w:pPr>
      <w:r>
        <w:rPr>
          <w:lang w:val="en-US"/>
        </w:rPr>
        <w:t xml:space="preserve">Lipids — fatty acids, waxes, triacylglycerols, and their hydrolysis</w:t>
      </w:r>
    </w:p>
    <w:p>
      <w:pPr>
        <w:pStyle w:val="Compact"/>
        <w:numPr>
          <w:ilvl w:val="0"/>
          <w:numId w:val="1025"/>
        </w:numPr>
      </w:pPr>
      <w:r>
        <w:rPr>
          <w:lang w:val="en-US"/>
        </w:rPr>
        <w:t xml:space="preserve">Lab: Sugar Spill and Enzymes (Day 1); Bioremediation (Day 2)</w:t>
      </w:r>
    </w:p>
    <w:p>
      <w:pPr>
        <w:pStyle w:val="Compact"/>
        <w:numPr>
          <w:ilvl w:val="0"/>
          <w:numId w:val="1025"/>
        </w:numPr>
      </w:pPr>
      <w:r>
        <w:rPr>
          <w:lang w:val="en-US"/>
        </w:rPr>
        <w:t xml:space="preserve">Required Reading: Smith Ch. 14 (14.4–14.7), Ch. 15 (15.1–15.5)</w:t>
      </w:r>
    </w:p>
    <w:p>
      <w:pPr>
        <w:pStyle w:val="Heading3"/>
      </w:pPr>
      <w:r>
        <w:rPr>
          <w:lang w:val="en-US"/>
        </w:rPr>
        <w:t xml:space="preserve">Weekly logistics</w:t>
      </w:r>
    </w:p>
    <w:p>
      <w:pPr>
        <w:pStyle w:val="Compact"/>
        <w:numPr>
          <w:ilvl w:val="0"/>
          <w:numId w:val="1026"/>
        </w:numPr>
      </w:pPr>
      <w:r>
        <w:rPr>
          <w:lang w:val="en-US"/>
        </w:rPr>
        <w:t xml:space="preserve">Activity: A33 (14.4–14.7)</w:t>
      </w:r>
    </w:p>
    <w:p>
      <w:pPr>
        <w:pStyle w:val="Compact"/>
        <w:numPr>
          <w:ilvl w:val="0"/>
          <w:numId w:val="1026"/>
        </w:numPr>
      </w:pPr>
      <w:r>
        <w:rPr>
          <w:lang w:val="en-US"/>
        </w:rPr>
        <w:t xml:space="preserve">Activity: A34 (15.1–15.5)</w:t>
      </w:r>
    </w:p>
    <w:p>
      <w:pPr>
        <w:pStyle w:val="Compact"/>
        <w:numPr>
          <w:ilvl w:val="0"/>
          <w:numId w:val="1026"/>
        </w:numPr>
      </w:pPr>
      <w:r>
        <w:rPr>
          <w:lang w:val="en-US"/>
        </w:rPr>
        <w:t xml:space="preserve">Bioremediation lab finishes with a Graphing Workshop</w:t>
      </w:r>
    </w:p>
    <w:bookmarkEnd w:id="82"/>
    <w:bookmarkStart w:id="83" w:name="week-8-cell-membranes-and-nucleic-acids"/>
    <w:p>
      <w:pPr>
        <w:pStyle w:val="Heading2"/>
      </w:pPr>
      <w:r>
        <w:rPr>
          <w:lang w:val="en-US"/>
        </w:rPr>
        <w:t xml:space="preserve">Week 8: Cell Membranes and Nucleic Acids</w:t>
      </w:r>
    </w:p>
    <w:p>
      <w:pPr>
        <w:pStyle w:val="FirstParagraph"/>
      </w:pPr>
      <w:r>
        <w:rPr>
          <w:b/>
          <w:bCs/>
          <w:lang w:val="en-US"/>
        </w:rPr>
        <w:t xml:space="preserve">What this week covers:</w:t>
      </w:r>
    </w:p>
    <w:p>
      <w:pPr>
        <w:pStyle w:val="Compact"/>
        <w:numPr>
          <w:ilvl w:val="0"/>
          <w:numId w:val="1027"/>
        </w:numPr>
      </w:pPr>
      <w:r>
        <w:rPr>
          <w:lang w:val="en-US"/>
        </w:rPr>
        <w:t xml:space="preserve">Phospholipids and cell membranes; cholesterol; steroid hormones;</w:t>
      </w:r>
      <w:r>
        <w:rPr>
          <w:lang w:val="en-US"/>
        </w:rPr>
        <w:t xml:space="preserve"> </w:t>
      </w:r>
      <w:r>
        <w:rPr>
          <w:lang w:val="en-US"/>
        </w:rPr>
        <w:t xml:space="preserve">fat-soluble vitamins</w:t>
      </w:r>
    </w:p>
    <w:p>
      <w:pPr>
        <w:pStyle w:val="Compact"/>
        <w:numPr>
          <w:ilvl w:val="0"/>
          <w:numId w:val="1027"/>
        </w:numPr>
      </w:pPr>
      <w:r>
        <w:rPr>
          <w:lang w:val="en-US"/>
        </w:rPr>
        <w:t xml:space="preserve">Nucleosides, nucleotides, and nucleic acids; the DNA double helix; replication; RNA</w:t>
      </w:r>
    </w:p>
    <w:p>
      <w:pPr>
        <w:pStyle w:val="Compact"/>
        <w:numPr>
          <w:ilvl w:val="0"/>
          <w:numId w:val="1027"/>
        </w:numPr>
      </w:pPr>
      <w:r>
        <w:rPr>
          <w:lang w:val="en-US"/>
        </w:rPr>
        <w:t xml:space="preserve">Lab: Bioplastics (Design Challenge)</w:t>
      </w:r>
    </w:p>
    <w:p>
      <w:pPr>
        <w:pStyle w:val="Compact"/>
        <w:numPr>
          <w:ilvl w:val="0"/>
          <w:numId w:val="1027"/>
        </w:numPr>
      </w:pPr>
      <w:r>
        <w:rPr>
          <w:lang w:val="en-US"/>
        </w:rPr>
        <w:t xml:space="preserve">Required Reading: Smith Ch. 15 (15.6–15.10), Ch. 17 (17.1–17.5)</w:t>
      </w:r>
    </w:p>
    <w:p>
      <w:pPr>
        <w:pStyle w:val="Heading3"/>
      </w:pPr>
      <w:r>
        <w:rPr>
          <w:lang w:val="en-US"/>
        </w:rPr>
        <w:t xml:space="preserve">Weekly logistics</w:t>
      </w:r>
    </w:p>
    <w:p>
      <w:pPr>
        <w:pStyle w:val="Compact"/>
        <w:numPr>
          <w:ilvl w:val="0"/>
          <w:numId w:val="1028"/>
        </w:numPr>
      </w:pPr>
      <w:r>
        <w:rPr>
          <w:lang w:val="en-US"/>
        </w:rPr>
        <w:t xml:space="preserve">Activity: A35 (15.6–15.10)</w:t>
      </w:r>
    </w:p>
    <w:p>
      <w:pPr>
        <w:pStyle w:val="Compact"/>
        <w:numPr>
          <w:ilvl w:val="0"/>
          <w:numId w:val="1028"/>
        </w:numPr>
      </w:pPr>
      <w:r>
        <w:rPr>
          <w:lang w:val="en-US"/>
        </w:rPr>
        <w:t xml:space="preserve">Activity: A36 (17.1–17.5)</w:t>
      </w:r>
    </w:p>
    <w:p>
      <w:pPr>
        <w:pStyle w:val="Compact"/>
        <w:numPr>
          <w:ilvl w:val="0"/>
          <w:numId w:val="1028"/>
        </w:numPr>
      </w:pPr>
      <w:r>
        <w:rPr>
          <w:lang w:val="en-US"/>
        </w:rPr>
        <w:t xml:space="preserve">Also this week: Unit Quiz 3 (Ch. 16 + Ch. 14)</w:t>
      </w:r>
    </w:p>
    <w:bookmarkEnd w:id="83"/>
    <w:bookmarkStart w:id="84" w:name="Xf52e2a1438eb51eedf41392730bb350ab07441d"/>
    <w:p>
      <w:pPr>
        <w:pStyle w:val="Heading2"/>
      </w:pPr>
      <w:r>
        <w:rPr>
          <w:lang w:val="en-US"/>
        </w:rPr>
        <w:t xml:space="preserve">Week 9: Protein Synthesis and Metabolism Overview</w:t>
      </w:r>
    </w:p>
    <w:p>
      <w:pPr>
        <w:pStyle w:val="FirstParagraph"/>
      </w:pPr>
      <w:r>
        <w:rPr>
          <w:b/>
          <w:bCs/>
          <w:lang w:val="en-US"/>
        </w:rPr>
        <w:t xml:space="preserve">What this week covers:</w:t>
      </w:r>
    </w:p>
    <w:p>
      <w:pPr>
        <w:pStyle w:val="Compact"/>
        <w:numPr>
          <w:ilvl w:val="0"/>
          <w:numId w:val="1029"/>
        </w:numPr>
      </w:pPr>
      <w:r>
        <w:rPr>
          <w:lang w:val="en-US"/>
        </w:rPr>
        <w:t xml:space="preserve">Transcription; the genetic code; translation; mutations and genetic</w:t>
      </w:r>
      <w:r>
        <w:rPr>
          <w:lang w:val="en-US"/>
        </w:rPr>
        <w:t xml:space="preserve"> </w:t>
      </w:r>
      <w:r>
        <w:rPr>
          <w:lang w:val="en-US"/>
        </w:rPr>
        <w:t xml:space="preserve">disease; modern DNA technology; viruses</w:t>
      </w:r>
    </w:p>
    <w:p>
      <w:pPr>
        <w:pStyle w:val="Compact"/>
        <w:numPr>
          <w:ilvl w:val="0"/>
          <w:numId w:val="1029"/>
        </w:numPr>
      </w:pPr>
      <w:r>
        <w:rPr>
          <w:lang w:val="en-US"/>
        </w:rPr>
        <w:t xml:space="preserve">Overview of metabolism; ATP and energy production; coenzymes in metabolism</w:t>
      </w:r>
    </w:p>
    <w:p>
      <w:pPr>
        <w:pStyle w:val="Compact"/>
        <w:numPr>
          <w:ilvl w:val="0"/>
          <w:numId w:val="1029"/>
        </w:numPr>
      </w:pPr>
      <w:r>
        <w:rPr>
          <w:lang w:val="en-US"/>
        </w:rPr>
        <w:t xml:space="preserve">Lab: DNA Extraction</w:t>
      </w:r>
    </w:p>
    <w:p>
      <w:pPr>
        <w:pStyle w:val="Compact"/>
        <w:numPr>
          <w:ilvl w:val="0"/>
          <w:numId w:val="1029"/>
        </w:numPr>
      </w:pPr>
      <w:r>
        <w:rPr>
          <w:lang w:val="en-US"/>
        </w:rPr>
        <w:t xml:space="preserve">Required Reading: Smith Ch. 17 (17.6–17.11), Ch. 18 (18.1–18.3)</w:t>
      </w:r>
    </w:p>
    <w:p>
      <w:pPr>
        <w:pStyle w:val="Heading3"/>
      </w:pPr>
      <w:r>
        <w:rPr>
          <w:lang w:val="en-US"/>
        </w:rPr>
        <w:t xml:space="preserve">Weekly logistics</w:t>
      </w:r>
    </w:p>
    <w:p>
      <w:pPr>
        <w:pStyle w:val="Compact"/>
        <w:numPr>
          <w:ilvl w:val="0"/>
          <w:numId w:val="1030"/>
        </w:numPr>
      </w:pPr>
      <w:r>
        <w:rPr>
          <w:lang w:val="en-US"/>
        </w:rPr>
        <w:t xml:space="preserve">Activity: A37 (17.6–17.11)</w:t>
      </w:r>
    </w:p>
    <w:p>
      <w:pPr>
        <w:pStyle w:val="Compact"/>
        <w:numPr>
          <w:ilvl w:val="0"/>
          <w:numId w:val="1030"/>
        </w:numPr>
      </w:pPr>
      <w:r>
        <w:rPr>
          <w:lang w:val="en-US"/>
        </w:rPr>
        <w:t xml:space="preserve">Activity: A38 (18.1–18.3)</w:t>
      </w:r>
    </w:p>
    <w:p>
      <w:pPr>
        <w:pStyle w:val="Compact"/>
        <w:numPr>
          <w:ilvl w:val="0"/>
          <w:numId w:val="1030"/>
        </w:numPr>
      </w:pPr>
      <w:r>
        <w:rPr>
          <w:lang w:val="en-US"/>
        </w:rPr>
        <w:t xml:space="preserve">Seed-toxicology lab prep begins this week (advance germination time)</w:t>
      </w:r>
    </w:p>
    <w:bookmarkEnd w:id="84"/>
    <w:bookmarkStart w:id="85" w:name="X8b13cc2bc9fa4be22b90fbca6b049f5172071d3"/>
    <w:p>
      <w:pPr>
        <w:pStyle w:val="Heading2"/>
      </w:pPr>
      <w:r>
        <w:rPr>
          <w:lang w:val="en-US"/>
        </w:rPr>
        <w:t xml:space="preserve">Week 10: Catabolism, Energy Expenditure, and Final Project</w:t>
      </w:r>
    </w:p>
    <w:p>
      <w:pPr>
        <w:pStyle w:val="FirstParagraph"/>
      </w:pPr>
      <w:r>
        <w:rPr>
          <w:b/>
          <w:bCs/>
          <w:lang w:val="en-US"/>
        </w:rPr>
        <w:t xml:space="preserve">What this week covers:</w:t>
      </w:r>
    </w:p>
    <w:p>
      <w:pPr>
        <w:pStyle w:val="Compact"/>
        <w:numPr>
          <w:ilvl w:val="0"/>
          <w:numId w:val="1031"/>
        </w:numPr>
      </w:pPr>
      <w:r>
        <w:rPr>
          <w:lang w:val="en-US"/>
        </w:rPr>
        <w:t xml:space="preserve">Glycolysis; the fate of pyruvate; the citric acid cycle; electron</w:t>
      </w:r>
      <w:r>
        <w:rPr>
          <w:lang w:val="en-US"/>
        </w:rPr>
        <w:t xml:space="preserve"> </w:t>
      </w:r>
      <w:r>
        <w:rPr>
          <w:lang w:val="en-US"/>
        </w:rPr>
        <w:t xml:space="preserve">transport chain and oxidative phosphorylation; ATP yield from glucose</w:t>
      </w:r>
    </w:p>
    <w:p>
      <w:pPr>
        <w:pStyle w:val="Compact"/>
        <w:numPr>
          <w:ilvl w:val="0"/>
          <w:numId w:val="1031"/>
        </w:numPr>
      </w:pPr>
      <w:r>
        <w:rPr>
          <w:lang w:val="en-US"/>
        </w:rPr>
        <w:t xml:space="preserve">Catabolism of triacylglycerols; ketone bodies; amino acid metabolism</w:t>
      </w:r>
    </w:p>
    <w:p>
      <w:pPr>
        <w:pStyle w:val="Compact"/>
        <w:numPr>
          <w:ilvl w:val="0"/>
          <w:numId w:val="1031"/>
        </w:numPr>
      </w:pPr>
      <w:r>
        <w:rPr>
          <w:lang w:val="en-US"/>
        </w:rPr>
        <w:t xml:space="preserve">Lab: Seed Toxicology</w:t>
      </w:r>
    </w:p>
    <w:p>
      <w:pPr>
        <w:pStyle w:val="Compact"/>
        <w:numPr>
          <w:ilvl w:val="0"/>
          <w:numId w:val="1031"/>
        </w:numPr>
      </w:pPr>
      <w:r>
        <w:rPr>
          <w:lang w:val="en-US"/>
        </w:rPr>
        <w:t xml:space="preserve">Final Project: Teach Your Community (TYC) — final exam assessment,</w:t>
      </w:r>
      <w:r>
        <w:rPr>
          <w:lang w:val="en-US"/>
        </w:rPr>
        <w:t xml:space="preserve"> </w:t>
      </w:r>
      <w:r>
        <w:rPr>
          <w:lang w:val="en-US"/>
        </w:rPr>
        <w:t xml:space="preserve">10% of course grade, due Thursday, 12/10</w:t>
      </w:r>
    </w:p>
    <w:p>
      <w:pPr>
        <w:pStyle w:val="Compact"/>
        <w:numPr>
          <w:ilvl w:val="0"/>
          <w:numId w:val="1031"/>
        </w:numPr>
      </w:pPr>
      <w:r>
        <w:rPr>
          <w:lang w:val="en-US"/>
        </w:rPr>
        <w:t xml:space="preserve">Required Reading: Smith Ch. 18 (18.4–18.11)</w:t>
      </w:r>
    </w:p>
    <w:p>
      <w:pPr>
        <w:pStyle w:val="Heading3"/>
      </w:pPr>
      <w:r>
        <w:rPr>
          <w:lang w:val="en-US"/>
        </w:rPr>
        <w:t xml:space="preserve">Weekly logistics</w:t>
      </w:r>
    </w:p>
    <w:p>
      <w:pPr>
        <w:pStyle w:val="Compact"/>
        <w:numPr>
          <w:ilvl w:val="0"/>
          <w:numId w:val="1032"/>
        </w:numPr>
      </w:pPr>
      <w:r>
        <w:rPr>
          <w:lang w:val="en-US"/>
        </w:rPr>
        <w:t xml:space="preserve">Activity: A39 (18.4–18.8)</w:t>
      </w:r>
    </w:p>
    <w:p>
      <w:pPr>
        <w:pStyle w:val="Compact"/>
        <w:numPr>
          <w:ilvl w:val="0"/>
          <w:numId w:val="1032"/>
        </w:numPr>
      </w:pPr>
      <w:r>
        <w:rPr>
          <w:lang w:val="en-US"/>
        </w:rPr>
        <w:t xml:space="preserve">Activity: A40 (18.9–18.11)</w:t>
      </w:r>
    </w:p>
    <w:p>
      <w:pPr>
        <w:pStyle w:val="Compact"/>
        <w:numPr>
          <w:ilvl w:val="0"/>
          <w:numId w:val="1032"/>
        </w:numPr>
      </w:pPr>
      <w:r>
        <w:rPr>
          <w:lang w:val="en-US"/>
        </w:rPr>
        <w:t xml:space="preserve">Also this week: Unit Quiz 4 (Ch. 15 + Ch. 17); Unit Quiz 5</w:t>
      </w:r>
      <w:r>
        <w:rPr>
          <w:lang w:val="en-US"/>
        </w:rPr>
        <w:t xml:space="preserve"> </w:t>
      </w:r>
      <w:r>
        <w:rPr>
          <w:lang w:val="en-US"/>
        </w:rPr>
        <w:t xml:space="preserve">(Ch. 18); TYC Outline work continues</w:t>
      </w:r>
    </w:p>
    <w:p>
      <w:pPr>
        <w:pStyle w:val="Compact"/>
        <w:numPr>
          <w:ilvl w:val="0"/>
          <w:numId w:val="1032"/>
        </w:numPr>
      </w:pPr>
      <w:r>
        <w:rPr>
          <w:lang w:val="en-US"/>
        </w:rPr>
        <w:t xml:space="preserve">Finals week: course potluck</w:t>
      </w:r>
    </w:p>
    <w:bookmarkEnd w:id="85"/>
    <w:bookmarkEnd w:id="86"/>
    <w:sectPr xmlns:r="http://schemas.openxmlformats.org/officeDocument/2006/relationships">
      <w:footerReference r:id="rIdFtr1" w:type="default"/>
      <w:pgSz w:h="15840" w:w="12240"/>
      <w:pgMar w:bottom="1080" w:footer="54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right"/>
    </w:pPr>
    <w:r>
      <w:rPr>
        <w:sz w:val="18"/>
      </w:rPr>
      <w:t xml:space="preserve">CHEM&amp;131 Syllabus · Fall 2026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color w:val="1F2328"/>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20"/>
    </w:pPr>
  </w:style>
  <w:style w:styleId="Title" w:type="paragraph">
    <w:name w:val="Title"/>
    <w:basedOn w:val="Normal"/>
    <w:next w:val="Subtitle"/>
    <w:qFormat/>
    <w:pPr>
      <w:spacing w:after="60" w:before="0"/>
    </w:pPr>
    <w:rPr>
      <w:rFonts w:ascii="Calibri" w:cs="Calibri" w:eastAsia="Calibri" w:hAnsi="Calibri"/>
      <w:b/>
      <w:bCs/>
      <w:color w:val="0B5563"/>
      <w:sz w:val="44"/>
      <w:szCs w:val="44"/>
    </w:rPr>
  </w:style>
  <w:style w:styleId="Subtitle" w:type="paragraph">
    <w:name w:val="Subtitle"/>
    <w:basedOn w:val="Normal"/>
    <w:next w:val="BodyText"/>
    <w:qFormat/>
    <w:pPr>
      <w:spacing w:after="240" w:before="0"/>
    </w:pPr>
    <w:rPr>
      <w:rFonts w:ascii="Calibri" w:cs="Calibri" w:eastAsia="Calibri" w:hAnsi="Calibri"/>
      <w:color w:val="1F2328"/>
      <w:sz w:val="26"/>
      <w:szCs w:val="26"/>
    </w:rPr>
  </w:style>
  <w:style w:customStyle="1" w:styleId="Author" w:type="paragraph">
    <w:name w:val="Author"/>
    <w:next w:val="BodyText"/>
    <w:qFormat/>
    <w:pPr>
      <w:keepNext/>
      <w:keepLines/>
      <w:jc w:val="left"/>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color="0B5563" w:space="4" w:sz="8" w:val="single"/>
      </w:pBdr>
      <w:spacing w:after="120" w:before="360"/>
      <w:outlineLvl w:val="0"/>
    </w:pPr>
    <w:rPr>
      <w:rFonts w:ascii="Calibri" w:cs="Calibri" w:eastAsia="Calibri" w:hAnsi="Calibri"/>
      <w:b/>
      <w:bCs/>
      <w:color w:val="0B5563"/>
      <w:sz w:val="32"/>
      <w:szCs w:val="32"/>
    </w:rPr>
  </w:style>
  <w:style w:styleId="Heading2" w:type="paragraph">
    <w:name w:val="heading 2"/>
    <w:basedOn w:val="Normal"/>
    <w:next w:val="BodyText"/>
    <w:uiPriority w:val="9"/>
    <w:qFormat/>
    <w:pPr>
      <w:keepNext/>
      <w:keepLines/>
      <w:spacing w:after="80" w:before="240"/>
      <w:outlineLvl w:val="1"/>
    </w:pPr>
    <w:rPr>
      <w:rFonts w:ascii="Calibri" w:cs="Calibri" w:eastAsia="Calibri" w:hAnsi="Calibri"/>
      <w:b/>
      <w:bCs/>
      <w:color w:val="0B5563"/>
      <w:sz w:val="26"/>
      <w:szCs w:val="26"/>
    </w:rPr>
  </w:style>
  <w:style w:styleId="Heading3" w:type="paragraph">
    <w:name w:val="heading 3"/>
    <w:basedOn w:val="Normal"/>
    <w:next w:val="BodyText"/>
    <w:uiPriority w:val="9"/>
    <w:qFormat/>
    <w:pPr>
      <w:keepNext/>
      <w:keepLines/>
      <w:spacing w:after="60" w:before="200"/>
      <w:outlineLvl w:val="2"/>
    </w:pPr>
    <w:rPr>
      <w:rFonts w:ascii="Calibri" w:cs="Calibri" w:eastAsia="Calibri" w:hAnsi="Calibri"/>
      <w:b/>
      <w:bCs/>
      <w:color w:val="0B5563"/>
      <w:sz w:val="23"/>
      <w:szCs w:val="23"/>
    </w:rPr>
  </w:style>
  <w:style w:styleId="Heading4" w:type="paragraph">
    <w:name w:val="heading 4"/>
    <w:basedOn w:val="Normal"/>
    <w:next w:val="BodyText"/>
    <w:uiPriority w:val="9"/>
    <w:qFormat/>
    <w:pPr>
      <w:keepNext/>
      <w:keepLines/>
      <w:spacing w:after="40" w:before="160"/>
      <w:outlineLvl w:val="3"/>
    </w:pPr>
    <w:rPr>
      <w:rFonts w:ascii="Calibri" w:cs="Calibri" w:eastAsia="Calibri" w:hAnsi="Calibri"/>
      <w:b/>
      <w:bCs/>
      <w:color w:val="0B5563"/>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40" w:before="40"/>
    </w:pPr>
    <w:tblPr>
      <w:tblInd w:type="dxa" w:w="0"/>
      <w:tblBorders>
        <w:top w:color="A6B4B6" w:space="0" w:sz="4" w:val="single"/>
        <w:left w:color="A6B4B6" w:space="0" w:sz="4" w:val="single"/>
        <w:bottom w:color="A6B4B6" w:space="0" w:sz="4" w:val="single"/>
        <w:right w:color="A6B4B6" w:space="0" w:sz="4" w:val="single"/>
        <w:insideH w:color="A6B4B6" w:space="0" w:sz="4" w:val="single"/>
        <w:insideV w:color="A6B4B6" w:space="0" w:sz="4" w:val="single"/>
      </w:tblBorders>
      <w:tblCellMar>
        <w:top w:type="dxa" w:w="60"/>
        <w:left w:type="dxa" w:w="108"/>
        <w:bottom w:type="dxa" w:w="60"/>
        <w:right w:type="dxa" w:w="108"/>
      </w:tblCellMar>
    </w:tblPr>
    <w:tblStylePr w:type="firstRow">
      <w:rPr>
        <w:b/>
        <w:bCs/>
        <w:color w:val="FFFFFF"/>
      </w:rPr>
      <w:tcPr>
        <w:shd w:color="auto" w:fill="0B556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0B4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 w:type="paragraph">
    <w:name w:val="Callout"/>
    <w:basedOn w:val="BodyText"/>
    <w:qFormat/>
    <w:pPr>
      <w:pBdr>
        <w:left w:color="B45309" w:space="8" w:sz="24" w:val="single"/>
      </w:pBdr>
      <w:shd w:color="auto" w:fill="FDF6EC" w:val="clear"/>
      <w:spacing w:after="160" w:before="120"/>
      <w:ind w:left="240" w:right="24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Introduction to Organic and Biochemistry</dc:title>
  <dc:creator>Dr. Karl Bailey (Dr. B), Clark College</dc:creator>
  <dc:language>en-US</dc:language>
  <dc:subject>CHEM&amp;131 course syllabus and week-by-week content guide</dc:subject>
  <cp:keywords>CHEM&amp;131, syllabus, Clark College</cp:keywords>
  <dcterms:created xsi:type="dcterms:W3CDTF">2026-09-22T18:08:32Z</dcterms:created>
  <dcterms:modified xsi:type="dcterms:W3CDTF">2026-09-22T18:08:32Z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Syllabus and What’s Covered — Fall 2026 (September 21 – December 10, 2026)</vt:lpwstr>
  </property>
</Properties>
</file>