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LLM-Based Exam Evaluation Engine</w:t>
      </w:r>
    </w:p>
    <w:p>
      <w:pPr>
        <w:spacing w:after="100"/>
        <w:jc w:val="center"/>
      </w:pPr>
      <w:r>
        <w:rPr>
          <w:rFonts w:ascii="Arial" w:cs="Arial" w:eastAsia="Arial" w:hAnsi="Arial"/>
          <w:color w:val="555555"/>
          <w:sz w:val="28"/>
          <w:szCs w:val="28"/>
        </w:rPr>
        <w:t xml:space="preserve">Frontend Dashboard — Development Report</w:t>
      </w:r>
    </w:p>
    <w:p>
      <w:pPr>
        <w:spacing w:after="400"/>
        <w:jc w:val="center"/>
      </w:pPr>
      <w:r>
        <w:rPr>
          <w:rFonts w:ascii="Arial" w:cs="Arial" w:eastAsia="Arial" w:hAnsi="Arial"/>
          <w:sz w:val="24"/>
          <w:szCs w:val="24"/>
        </w:rPr>
        <w:t xml:space="preserve">Eren Keleş</w:t>
      </w:r>
      <w:r>
        <w:rPr>
          <w:rFonts w:ascii="Arial" w:cs="Arial" w:eastAsia="Arial" w:hAnsi="Arial"/>
          <w:color w:val="777777"/>
          <w:sz w:val="24"/>
          <w:szCs w:val="24"/>
        </w:rPr>
        <w:t xml:space="preserve">
April 2026</w:t>
      </w:r>
    </w:p>
    <w:p>
      <w:pPr>
        <w:pStyle w:val="Heading1"/>
      </w:pPr>
      <w:r>
        <w:t xml:space="preserve">1. Overview</w:t>
      </w:r>
    </w:p>
    <w:p>
      <w:pPr>
        <w:spacing w:after="200"/>
      </w:pPr>
      <w:r>
        <w:t xml:space="preserve">This report documents the frontend dashboard development for Module 5 of the Exam Engine project. The dashboard provides the instructor-facing web interface for uploading exams, monitoring the OCR-to-LLM evaluation pipeline, reviewing AI-generated grades, and viewing analytics. It is built as a single-page application using React 18, TypeScript, and Tailwind CSS, communicating with the FastAPI backend through a RESTful API.</w:t>
      </w:r>
    </w:p>
    <w:p>
      <w:pPr>
        <w:pStyle w:val="Heading1"/>
      </w:pPr>
      <w:r>
        <w:t xml:space="preserve">2. Technology Stack</w:t>
      </w:r>
    </w:p>
    <w:p>
      <w:pPr>
        <w:pStyle w:val="ListParagraph"/>
        <w:numPr>
          <w:ilvl w:val="0"/>
          <w:numId w:val="2"/>
        </w:numPr>
      </w:pPr>
      <w:r>
        <w:t xml:space="preserve">React 18 with TypeScript for type-safe component development</w:t>
      </w:r>
    </w:p>
    <w:p>
      <w:pPr>
        <w:pStyle w:val="ListParagraph"/>
        <w:numPr>
          <w:ilvl w:val="0"/>
          <w:numId w:val="2"/>
        </w:numPr>
      </w:pPr>
      <w:r>
        <w:t xml:space="preserve">Vite as the build tool and development server with hot module replacement</w:t>
      </w:r>
    </w:p>
    <w:p>
      <w:pPr>
        <w:pStyle w:val="ListParagraph"/>
        <w:numPr>
          <w:ilvl w:val="0"/>
          <w:numId w:val="2"/>
        </w:numPr>
      </w:pPr>
      <w:r>
        <w:t xml:space="preserve">Tailwind CSS with a Material Design 3-inspired design token system for consistent styling</w:t>
      </w:r>
    </w:p>
    <w:p>
      <w:pPr>
        <w:pStyle w:val="ListParagraph"/>
        <w:numPr>
          <w:ilvl w:val="0"/>
          <w:numId w:val="2"/>
        </w:numPr>
      </w:pPr>
      <w:r>
        <w:t xml:space="preserve">Axios for API communication with JWT-based authentication interceptors</w:t>
      </w:r>
    </w:p>
    <w:p>
      <w:pPr>
        <w:pStyle w:val="ListParagraph"/>
        <w:numPr>
          <w:ilvl w:val="0"/>
          <w:numId w:val="2"/>
        </w:numPr>
      </w:pPr>
      <w:r>
        <w:t xml:space="preserve">React Router DOM v6 for client-side routing with protected route guards</w:t>
      </w:r>
    </w:p>
    <w:p>
      <w:pPr>
        <w:pStyle w:val="ListParagraph"/>
        <w:numPr>
          <w:ilvl w:val="0"/>
          <w:numId w:val="2"/>
        </w:numPr>
      </w:pPr>
      <w:r>
        <w:t xml:space="preserve">Material Symbols Outlined for a professional, consistent icon system</w:t>
      </w:r>
    </w:p>
    <w:p>
      <w:pPr>
        <w:pStyle w:val="ListParagraph"/>
        <w:numPr>
          <w:ilvl w:val="0"/>
          <w:numId w:val="2"/>
        </w:numPr>
      </w:pPr>
      <w:r>
        <w:t xml:space="preserve">Inter and JetBrains Mono fonts for UI text and monospace data display</w:t>
      </w:r>
    </w:p>
    <w:p>
      <w:pPr>
        <w:pStyle w:val="ListParagraph"/>
        <w:numPr>
          <w:ilvl w:val="0"/>
          <w:numId w:val="2"/>
        </w:numPr>
      </w:pPr>
      <w:r>
        <w:t xml:space="preserve">Docker for backend services (PostgreSQL, Redis, FastAPI), with a dev override for local development</w:t>
      </w:r>
    </w:p>
    <w:p>
      <w:pPr>
        <w:pStyle w:val="Heading1"/>
      </w:pPr>
      <w:r>
        <w:t xml:space="preserve">3. Architecture</w:t>
      </w:r>
    </w:p>
    <w:p>
      <w:pPr>
        <w:spacing w:after="200"/>
      </w:pPr>
      <w:r>
        <w:t xml:space="preserve">The frontend follows a standard React SPA architecture. The application shell consists of a fixed sidebar navigation and a main content area. All pages render inside a shared Layout component, with authentication enforced by a ProtectedRoute wrapper that checks for JWT tokens in localStorage. The Vite dev server proxies API requests to the FastAPI backend running on port 8000.</w:t>
      </w:r>
    </w:p>
    <w:p>
      <w:pPr>
        <w:pStyle w:val="Heading2"/>
      </w:pPr>
      <w:r>
        <w:t xml:space="preserve">3.1 Design System</w:t>
      </w:r>
    </w:p>
    <w:p>
      <w:pPr>
        <w:spacing w:after="200"/>
      </w:pPr>
      <w:r>
        <w:t xml:space="preserve">The UI uses a Material Design 3-inspired color token system configured in Tailwind CSS. Semantic color tokens like surface, on-surface, primary-container, and outline-variant ensure visual consistency across all components. The design language prioritizes information density and professional aesthetics over decorative elements, following patterns established by tools like Linear and Vercel.</w:t>
      </w:r>
    </w:p>
    <w:p>
      <w:pPr>
        <w:pStyle w:val="Heading2"/>
      </w:pPr>
      <w:r>
        <w:t xml:space="preserve">3.2 Component Structure</w:t>
      </w:r>
    </w:p>
    <w:p>
      <w:pPr>
        <w:spacing w:after="200"/>
      </w:pPr>
      <w:r>
        <w:t xml:space="preserve">Shared components include Sidebar, Layout, StatusBadge, EmptyState, LoadingSpinner, MetricCard, Toast notifications, and Breadcrumbs. Each page is a standalone component that manages its own state and API calls. The Toast notification system uses React Context for global access.</w:t>
      </w:r>
    </w:p>
    <w:p>
      <w:pPr>
        <w:pStyle w:val="Heading1"/>
      </w:pPr>
      <w:r>
        <w:t xml:space="preserve">4. Pages Implemented</w:t>
      </w:r>
    </w:p>
    <w:p>
      <w:pPr>
        <w:pStyle w:val="Heading2"/>
      </w:pPr>
      <w:r>
        <w:t xml:space="preserve">4.1 Login Page</w:t>
      </w:r>
    </w:p>
    <w:p>
      <w:pPr>
        <w:spacing w:after="200"/>
      </w:pPr>
      <w:r>
        <w:t xml:space="preserve">A split-screen layout with the authentication form on the left (60%) and a branded gradient hero section on the right (40%). Supports email/password login with JWT token storage, password visibility toggle, error display, and demo account auto-fill. The hero section communicates the product value proposition and displays a glass-morphism insight card.</w:t>
      </w:r>
    </w:p>
    <w:p>
      <w:pPr>
        <w:pStyle w:val="Heading2"/>
      </w:pPr>
      <w:r>
        <w:t xml:space="preserve">4.2 Dashboard</w:t>
      </w:r>
    </w:p>
    <w:p>
      <w:pPr>
        <w:spacing w:after="200"/>
      </w:pPr>
      <w:r>
        <w:t xml:space="preserve">The main landing page after login, showing four metric cards (Total Evaluations, Students Evaluated, Average Score, Active Jobs) with animated count-up values. Below the metrics are quick-action buttons and a recent evaluations table with sortable columns and color-coded status badges. All data is fetched from the /jobs and /results API endpoints.</w:t>
      </w:r>
    </w:p>
    <w:p>
      <w:pPr>
        <w:pStyle w:val="Heading2"/>
      </w:pPr>
      <w:r>
        <w:t xml:space="preserve">4.3 Upload Exam</w:t>
      </w:r>
    </w:p>
    <w:p>
      <w:pPr>
        <w:spacing w:after="200"/>
      </w:pPr>
      <w:r>
        <w:t xml:space="preserve">A multi-step form for uploading scanned exam PDFs. Includes a drag-and-drop file zone with validation (PDF only, max 50MB), configuration fields for exam title, course name, exam type, and answer key selection. Supports a manual mode toggle that allows instructors to run each pipeline stage (OCR, Layout, Evaluation) individually with real-time status updates and a log terminal.</w:t>
      </w:r>
    </w:p>
    <w:p>
      <w:pPr>
        <w:pStyle w:val="Heading2"/>
      </w:pPr>
      <w:r>
        <w:t xml:space="preserve">4.4 Evaluations List</w:t>
      </w:r>
    </w:p>
    <w:p>
      <w:pPr>
        <w:spacing w:after="200"/>
      </w:pPr>
      <w:r>
        <w:t xml:space="preserve">Displays all evaluation jobs with their current pipeline status. Each job shows the exam title, course, creation date, student count, and a status badge. Jobs in running states are polled every 2-3 seconds for live updates. Completed jobs link to their results page, and failed jobs offer a retry option.</w:t>
      </w:r>
    </w:p>
    <w:p>
      <w:pPr>
        <w:pStyle w:val="Heading2"/>
      </w:pPr>
      <w:r>
        <w:t xml:space="preserve">4.5 Evaluation Results</w:t>
      </w:r>
    </w:p>
    <w:p>
      <w:pPr>
        <w:spacing w:after="200"/>
      </w:pPr>
      <w:r>
        <w:t xml:space="preserve">Shows exam-level statistics (average, highest, lowest scores, standard deviation), a grade distribution chart, and a searchable student results table. The table supports multi-column sorting, and each row shows MC score, open-ended score, total percentage with an inline progress bar, and letter grade. Instructors can export results to CSV.</w:t>
      </w:r>
    </w:p>
    <w:p>
      <w:pPr>
        <w:pStyle w:val="Heading2"/>
      </w:pPr>
      <w:r>
        <w:t xml:space="preserve">4.6 Student Detail</w:t>
      </w:r>
    </w:p>
    <w:p>
      <w:pPr>
        <w:spacing w:after="200"/>
      </w:pPr>
      <w:r>
        <w:t xml:space="preserve">A drill-down view for individual student performance. Displays the student header with name, ID, and grade badge, followed by score breakdown cards for multiple-choice and open-ended sections, and a question-by-question detail table showing points earned, correctness status, and AI-generated feedback for each answer.</w:t>
      </w:r>
    </w:p>
    <w:p>
      <w:pPr>
        <w:pStyle w:val="Heading2"/>
      </w:pPr>
      <w:r>
        <w:t xml:space="preserve">4.7 Answer Key Management</w:t>
      </w:r>
    </w:p>
    <w:p>
      <w:pPr>
        <w:spacing w:after="200"/>
      </w:pPr>
      <w:r>
        <w:t xml:space="preserve">A CRUD interface for creating and managing answer key templates. Supports creating answer keys with configurable question types (multiple choice or open-ended), point values, correct answers, and rubric text. Answer keys are stored via the backend API and can be selected during exam upload.</w:t>
      </w:r>
    </w:p>
    <w:p>
      <w:pPr>
        <w:pStyle w:val="Heading2"/>
      </w:pPr>
      <w:r>
        <w:t xml:space="preserve">4.8 Analytics (New)</w:t>
      </w:r>
    </w:p>
    <w:p>
      <w:pPr>
        <w:spacing w:after="200"/>
      </w:pPr>
      <w:r>
        <w:t xml:space="preserve">A data analytics page showing AI-powered exam performance insights. Features a course selector dropdown with an "All Courses" aggregation option. Includes metric cards, a score distribution histogram built from real student data, a question difficulty analysis chart computed from actual answer records, grade distribution bars with a summary table, and an AI Insights section that generates contextual observations based on the exam metrics.</w:t>
      </w:r>
    </w:p>
    <w:p>
      <w:pPr>
        <w:pStyle w:val="Heading2"/>
      </w:pPr>
      <w:r>
        <w:t xml:space="preserve">4.9 Pipeline Monitor (New)</w:t>
      </w:r>
    </w:p>
    <w:p>
      <w:pPr>
        <w:spacing w:after="200"/>
      </w:pPr>
      <w:r>
        <w:t xml:space="preserve">A real-time pipeline processing monitor that visualizes the three-stage evaluation pipeline: OCR Text Extraction (Tesseract + PaddleOCR), Layout Analysis (LayoutParser), and AI Evaluation (Mistral-7B via llama.cpp). Each stage is displayed as a card with completion status, progress bars, duration, and engine labels. The page includes a dark-themed terminal log viewer for pipeline output and an alert system for low-confidence OCR detections that require manual review.</w:t>
      </w:r>
    </w:p>
    <w:p>
      <w:pPr>
        <w:pStyle w:val="Heading2"/>
      </w:pPr>
      <w:r>
        <w:t xml:space="preserve">4.10 AI Grading Review (New)</w:t>
      </w:r>
    </w:p>
    <w:p>
      <w:pPr>
        <w:spacing w:after="200"/>
      </w:pPr>
      <w:r>
        <w:t xml:space="preserve">The most critical new page — a three-panel grading workstation designed for instructor review of AI-generated grades. The left panel shows the scanned exam document with zoom controls, page navigation, and highlighted question bounding boxes with OCR confidence indicators. The right panel displays student information, a review progress bar, and a scrollable question list. Multiple-choice questions show the student answer vs. correct answer with OCR verification status. Open-ended questions display the AI evaluation with rubric alignment scores, AI reasoning in a blockquote, semantic similarity percentage, and model attribution. Instructors can override AI scores or accept them, with auto-save functionality.</w:t>
      </w:r>
    </w:p>
    <w:p>
      <w:pPr>
        <w:pStyle w:val="Heading1"/>
      </w:pPr>
      <w:r>
        <w:t xml:space="preserve">5. API Integration</w:t>
      </w:r>
    </w:p>
    <w:p>
      <w:pPr>
        <w:spacing w:after="200"/>
      </w:pPr>
      <w:r>
        <w:t xml:space="preserve">The frontend communicates with the FastAPI backend through an Axios client configured with JWT authentication interceptors. Access tokens are attached to every request via a request interceptor, and 401 responses trigger automatic logout and redirect to the login page. The API client supports all backend endpoints including authentication, exam upload (multipart/form-data), job management, answer keys, results retrieval, statistics, and CSV export.</w:t>
      </w:r>
    </w:p>
    <w:p>
      <w:pPr>
        <w:pStyle w:val="Heading1"/>
      </w:pPr>
      <w:r>
        <w:t xml:space="preserve">6. Summary</w:t>
      </w:r>
    </w:p>
    <w:p>
      <w:pPr>
        <w:spacing w:after="200"/>
      </w:pPr>
      <w:r>
        <w:t xml:space="preserve">The frontend dashboard provides a complete instructor interface for the Exam Engine system. It covers the full workflow from exam upload through pipeline monitoring to results review and analytics. The three new pages (Analytics, Pipeline Monitor, and AI Grading Review) add the product-differentiating features that connect the OCR and LLM backend capabilities to an accessible instructor experience. The design system ensures visual consistency and professional aesthetics appropriate for an academic tool.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2026-04-07T05:34:06.134Z</dcterms:created>
  <dcterms:modified xsi:type="dcterms:W3CDTF">2026-04-07T05:34:06.135Z</dcterms:modified>
</cp:coreProperties>
</file>

<file path=docProps/custom.xml><?xml version="1.0" encoding="utf-8"?>
<Properties xmlns="http://schemas.openxmlformats.org/officeDocument/2006/custom-properties" xmlns:vt="http://schemas.openxmlformats.org/officeDocument/2006/docPropsVTypes"/>
</file>