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480" w:after="160"/>
      </w:pPr>
      <w:r>
        <w:rPr>
          <w:rFonts w:ascii="Arial" w:hAnsi="Arial"/>
          <w:b/>
          <w:color w:val="C00000"/>
          <w:sz w:val="44"/>
        </w:rPr>
        <w:t>SOC USE CASES MANAGER</w:t>
      </w:r>
    </w:p>
    <w:p>
      <w:pPr>
        <w:spacing w:after="400"/>
      </w:pPr>
      <w:r>
        <w:rPr>
          <w:rFonts w:ascii="Arial" w:hAnsi="Arial"/>
          <w:color w:val="000000"/>
          <w:sz w:val="30"/>
        </w:rPr>
        <w:t>Documentacion tecnica, funcional y operativa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729"/>
        <w:gridCol w:w="4729"/>
      </w:tblGrid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Proyecto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SOC Use Cases Manager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Tipo de documento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Informe tecnico-operativo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Version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Fecha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27/05/2026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Repositorio sugerido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https://github.com/mrkeso1/soc_usecases.git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Stack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Django 6, PostgreSQL, Docker Compose</w:t>
            </w:r>
          </w:p>
        </w:tc>
      </w:tr>
    </w:tbl>
    <w:p/>
    <w:tbl>
      <w:tblPr>
        <w:tblStyle w:val="Tablaconcuadrcula"/>
        <w:tblW w:type="auto" w:w="0"/>
        <w:tblLook w:firstColumn="1" w:firstRow="1" w:lastColumn="0" w:lastRow="0" w:noHBand="0" w:noVBand="1" w:val="04A0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</w:tblPr>
      <w:tblGrid>
        <w:gridCol w:w="9458"/>
      </w:tblGrid>
      <w:tr>
        <w:tc>
          <w:tcPr>
            <w:tcW w:type="dxa" w:w="9458"/>
            <w:shd w:fill="FBECE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rial" w:hAnsi="Arial"/>
                <w:b/>
                <w:color w:val="C00000"/>
                <w:sz w:val="21"/>
              </w:rPr>
              <w:t>Objetivo del documento</w:t>
            </w:r>
          </w:p>
          <w:p>
            <w:pPr>
              <w:spacing w:after="0"/>
            </w:pPr>
            <w:r>
              <w:rPr>
                <w:rFonts w:ascii="Arial" w:hAnsi="Arial"/>
                <w:color w:val="000000"/>
                <w:sz w:val="20"/>
              </w:rPr>
              <w:t>Consolidar en un unico entregable la descripcion funcional, arquitectura, requerimientos tecnicos, integraciones, fuentes externas, cron de sincronizacion, logs, instalacion y operacion del sistema.</w:t>
            </w:r>
          </w:p>
        </w:tc>
      </w:tr>
    </w:tbl>
    <w:p/>
    <w:p>
      <w:pPr>
        <w:pStyle w:val="Ttulo1"/>
        <w:keepNext/>
        <w:spacing w:before="240" w:after="100"/>
      </w:pPr>
      <w:r>
        <w:rPr>
          <w:rFonts w:ascii="Arial" w:hAnsi="Arial"/>
          <w:b/>
          <w:color w:val="000000"/>
          <w:sz w:val="28"/>
        </w:rPr>
        <w:t>Resumen ejecutivo</w:t>
      </w:r>
    </w:p>
    <w:p>
      <w:pPr>
        <w:spacing w:after="120" w:line="276" w:lineRule="auto"/>
      </w:pPr>
      <w:r>
        <w:rPr>
          <w:rFonts w:ascii="Arial" w:hAnsi="Arial"/>
          <w:color w:val="000000"/>
          <w:sz w:val="21"/>
        </w:rPr>
        <w:t>SOC Use Cases Manager es una aplicacion web orientada a inventariar, administrar y revisar casos de uso SOC, con cobertura ATT&amp;CK y D3FEND, dashboard ejecutivo, exportaciones, ciclo de vida, roles y autenticacion local/LDAP configurable.</w:t>
      </w:r>
    </w:p>
    <w:p>
      <w:pPr>
        <w:pStyle w:val="Listaconvietas"/>
        <w:spacing w:after="60" w:line="269" w:lineRule="auto"/>
      </w:pPr>
      <w:r>
        <w:rPr>
          <w:rFonts w:ascii="Arial" w:hAnsi="Arial"/>
          <w:color w:val="000000"/>
          <w:sz w:val="20"/>
        </w:rPr>
        <w:t>Centraliza el inventario productivo de casos de uso y su mapeo ATT&amp;CK.</w:t>
      </w:r>
    </w:p>
    <w:p>
      <w:pPr>
        <w:pStyle w:val="Listaconvietas"/>
        <w:spacing w:after="60" w:line="269" w:lineRule="auto"/>
      </w:pPr>
      <w:r>
        <w:rPr>
          <w:rFonts w:ascii="Arial" w:hAnsi="Arial"/>
          <w:color w:val="000000"/>
          <w:sz w:val="20"/>
        </w:rPr>
        <w:t>Calcula cobertura D3FEND inferida desde relaciones oficiales D3FEND-&gt;ATT&amp;CK.</w:t>
      </w:r>
    </w:p>
    <w:p>
      <w:pPr>
        <w:pStyle w:val="Listaconvietas"/>
        <w:spacing w:after="60" w:line="269" w:lineRule="auto"/>
      </w:pPr>
      <w:r>
        <w:rPr>
          <w:rFonts w:ascii="Arial" w:hAnsi="Arial"/>
          <w:color w:val="000000"/>
          <w:sz w:val="20"/>
        </w:rPr>
        <w:t>Permite operar lifecycle, responsables, evidencias y proximas revisiones.</w:t>
      </w:r>
    </w:p>
    <w:p>
      <w:pPr>
        <w:pStyle w:val="Listaconvietas"/>
        <w:spacing w:after="60" w:line="269" w:lineRule="auto"/>
      </w:pPr>
      <w:r>
        <w:rPr>
          <w:rFonts w:ascii="Arial" w:hAnsi="Arial"/>
          <w:color w:val="000000"/>
          <w:sz w:val="20"/>
        </w:rPr>
        <w:t>Incluye dashboard, PDF ejecutivo, Excel de importacion/exportacion y datos demo.</w:t>
      </w:r>
    </w:p>
    <w:p>
      <w:pPr>
        <w:pStyle w:val="Listaconvietas"/>
        <w:spacing w:after="60" w:line="269" w:lineRule="auto"/>
      </w:pPr>
      <w:r>
        <w:rPr>
          <w:rFonts w:ascii="Arial" w:hAnsi="Arial"/>
          <w:color w:val="000000"/>
          <w:sz w:val="20"/>
        </w:rPr>
        <w:t>Automatiza catalogos mediante cron completo de ATT&amp;CK, D3FEND, mappings y casos.</w:t>
      </w:r>
    </w:p>
    <w:p>
      <w:r>
        <w:br w:type="page"/>
      </w:r>
    </w:p>
    <w:p>
      <w:pPr>
        <w:pStyle w:val="Ttulo1"/>
        <w:keepNext/>
        <w:spacing w:before="240" w:after="100"/>
      </w:pPr>
      <w:r>
        <w:rPr>
          <w:rFonts w:ascii="Arial" w:hAnsi="Arial"/>
          <w:b/>
          <w:color w:val="000000"/>
          <w:sz w:val="28"/>
        </w:rPr>
        <w:t>1. Alcance y objetivos</w:t>
      </w:r>
    </w:p>
    <w:p>
      <w:pPr>
        <w:spacing w:after="120" w:line="276" w:lineRule="auto"/>
      </w:pPr>
      <w:r>
        <w:rPr>
          <w:rFonts w:ascii="Arial" w:hAnsi="Arial"/>
          <w:color w:val="000000"/>
          <w:sz w:val="21"/>
        </w:rPr>
        <w:t>El sistema cubre la gestion diaria y ejecutiva de casos de uso SOC. El alcance principal es mantener un inventario confiable, medir cobertura de deteccion frente a frameworks defensivos/ofensivos, y facilitar revisiones periodicas con evidencia historica.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729"/>
        <w:gridCol w:w="4729"/>
      </w:tblGrid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Inventario operativo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Alta, edicion, filtros, bulk update, importacion y exportacion de casos de uso.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Cobertura ejecutiva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Dashboard y PDF con KPIs ATT&amp;CK/D3FEND, pendientes y principales tecnicas.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Lifecycle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Asignacion de responsables, finalizacion de controles y calculo de proximas revisiones.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Integracion de catalogos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Sincronizacion completa de ATT&amp;CK Enterprise, D3FEND, relaciones y casos inferidos.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Seguridad de acceso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Roles Admin, Analyst y ReadOnly, con opcion LDAP/LDAPS administrable.</w:t>
            </w:r>
          </w:p>
        </w:tc>
      </w:tr>
    </w:tbl>
    <w:p/>
    <w:p>
      <w:pPr>
        <w:pStyle w:val="Ttulo1"/>
        <w:keepNext/>
        <w:spacing w:before="240" w:after="100"/>
      </w:pPr>
      <w:r>
        <w:rPr>
          <w:rFonts w:ascii="Arial" w:hAnsi="Arial"/>
          <w:b/>
          <w:color w:val="000000"/>
          <w:sz w:val="28"/>
        </w:rPr>
        <w:t>2. Arquitectura general</w:t>
      </w:r>
    </w:p>
    <w:p>
      <w:pPr>
        <w:spacing w:after="120" w:line="276" w:lineRule="auto"/>
      </w:pPr>
      <w:r>
        <w:rPr>
          <w:rFonts w:ascii="Arial" w:hAnsi="Arial"/>
          <w:color w:val="000000"/>
          <w:sz w:val="21"/>
        </w:rPr>
        <w:t>La aplicacion corre como servicio Django dentro de Docker y persiste informacion en PostgreSQL. Las fuentes externas se consultan solo durante procesos de carga/sincronizacion o validacion LDAP.</w:t>
      </w:r>
    </w:p>
    <w:p>
      <w:pPr>
        <w:spacing w:before="80" w:after="160"/>
        <w:ind w:left="216" w:right="216"/>
        <w:shd w:fill="F4F6F8"/>
      </w:pPr>
      <w:r>
        <w:rPr>
          <w:rFonts w:ascii="Courier New" w:hAnsi="Courier New"/>
          <w:color w:val="283341"/>
          <w:sz w:val="18"/>
        </w:rPr>
        <w:t>Usuario -&gt; Navegador -&gt; Django web:8000 -&gt; PostgreSQL db:5432</w:t>
        <w:br/>
        <w:t xml:space="preserve">                         |-&gt; Logs: /logs/*.log</w:t>
        <w:br/>
        <w:t xml:space="preserve">                         |-&gt; Media: logos PDF</w:t>
        <w:br/>
        <w:t xml:space="preserve">                         |-&gt; HTTPS 443: MITRE ATT&amp;CK / D3FEND</w:t>
        <w:br/>
        <w:t xml:space="preserve">                         |-&gt; LDAP/LDAPS: 389/636 si se habilita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729"/>
        <w:gridCol w:w="4729"/>
      </w:tblGrid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apps.accounts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Usuario custom, roles, LDAPSettings, LDAPAuthLog y backends de autenticacion.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apps.usecases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Dominio principal: casos, catalogos, dashboard, matrices, lifecycle, PDF, Excel y cron.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PostgreSQL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Persistencia de usuarios, casos, catalogos, relaciones, logs admin y configuraciones.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Docker Compose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Orquesta web y db para desarrollo, pruebas y despliegue simple.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Filesystem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Almacena logs rotativos y media para logos de reportes.</w:t>
            </w:r>
          </w:p>
        </w:tc>
      </w:tr>
    </w:tbl>
    <w:p/>
    <w:p>
      <w:pPr>
        <w:pStyle w:val="Ttulo1"/>
        <w:keepNext/>
        <w:spacing w:before="240" w:after="100"/>
      </w:pPr>
      <w:r>
        <w:rPr>
          <w:rFonts w:ascii="Arial" w:hAnsi="Arial"/>
          <w:b/>
          <w:color w:val="000000"/>
          <w:sz w:val="28"/>
        </w:rPr>
        <w:t>3. Funcionalidades principales</w:t>
      </w:r>
    </w:p>
    <w:p>
      <w:pPr>
        <w:pStyle w:val="Ttulo2"/>
        <w:keepNext/>
        <w:spacing w:before="160" w:after="100"/>
      </w:pPr>
      <w:r>
        <w:rPr>
          <w:rFonts w:ascii="Arial" w:hAnsi="Arial"/>
          <w:color w:val="000000"/>
          <w:sz w:val="24"/>
        </w:rPr>
        <w:t>3.1 Inventario de casos</w:t>
      </w:r>
    </w:p>
    <w:p>
      <w:pPr>
        <w:pStyle w:val="Listaconvietas"/>
        <w:spacing w:after="60" w:line="269" w:lineRule="auto"/>
      </w:pPr>
      <w:r>
        <w:rPr>
          <w:rFonts w:ascii="Arial" w:hAnsi="Arial"/>
          <w:color w:val="000000"/>
          <w:sz w:val="20"/>
        </w:rPr>
        <w:t>Listado filtrable por texto, dispositivo, severidad, owner, estado, habilitado, revision y mapeo.</w:t>
      </w:r>
    </w:p>
    <w:p>
      <w:pPr>
        <w:pStyle w:val="Listaconvietas"/>
        <w:spacing w:after="60" w:line="269" w:lineRule="auto"/>
      </w:pPr>
      <w:r>
        <w:rPr>
          <w:rFonts w:ascii="Arial" w:hAnsi="Arial"/>
          <w:color w:val="000000"/>
          <w:sz w:val="20"/>
        </w:rPr>
        <w:t>Alta/edicion con tabs de datos principales, clasificacion, MITRE/D3FEND, lifecycle y notas.</w:t>
      </w:r>
    </w:p>
    <w:p>
      <w:pPr>
        <w:pStyle w:val="Listaconvietas"/>
        <w:spacing w:after="60" w:line="269" w:lineRule="auto"/>
      </w:pPr>
      <w:r>
        <w:rPr>
          <w:rFonts w:ascii="Arial" w:hAnsi="Arial"/>
          <w:color w:val="000000"/>
          <w:sz w:val="20"/>
        </w:rPr>
        <w:t>Bulk update para cambios masivos controlados.</w:t>
      </w:r>
    </w:p>
    <w:p>
      <w:pPr>
        <w:pStyle w:val="Listaconvietas"/>
        <w:spacing w:after="60" w:line="269" w:lineRule="auto"/>
      </w:pPr>
      <w:r>
        <w:rPr>
          <w:rFonts w:ascii="Arial" w:hAnsi="Arial"/>
          <w:color w:val="000000"/>
          <w:sz w:val="20"/>
        </w:rPr>
        <w:t>Changelog automatico de campos relevantes.</w:t>
      </w:r>
    </w:p>
    <w:p>
      <w:pPr>
        <w:pStyle w:val="Listaconvietas"/>
        <w:spacing w:after="60" w:line="269" w:lineRule="auto"/>
      </w:pPr>
      <w:r>
        <w:rPr>
          <w:rFonts w:ascii="Arial" w:hAnsi="Arial"/>
          <w:color w:val="000000"/>
          <w:sz w:val="20"/>
        </w:rPr>
        <w:t>Importacion Excel desde UI y consola, con plantilla y actualizacion por nombre.</w:t>
      </w:r>
    </w:p>
    <w:p>
      <w:pPr>
        <w:pStyle w:val="Listaconvietas"/>
        <w:spacing w:after="60" w:line="269" w:lineRule="auto"/>
      </w:pPr>
      <w:r>
        <w:rPr>
          <w:rFonts w:ascii="Arial" w:hAnsi="Arial"/>
          <w:color w:val="000000"/>
          <w:sz w:val="20"/>
        </w:rPr>
        <w:t>Exportacion Excel/CSV respetando filtros.</w:t>
      </w:r>
    </w:p>
    <w:p>
      <w:pPr>
        <w:pStyle w:val="Ttulo2"/>
        <w:keepNext/>
        <w:spacing w:before="160" w:after="100"/>
      </w:pPr>
      <w:r>
        <w:rPr>
          <w:rFonts w:ascii="Arial" w:hAnsi="Arial"/>
          <w:color w:val="000000"/>
          <w:sz w:val="24"/>
        </w:rPr>
        <w:t>3.2 Dashboard, matrices y PDF</w:t>
      </w:r>
    </w:p>
    <w:p>
      <w:pPr>
        <w:spacing w:after="120" w:line="276" w:lineRule="auto"/>
      </w:pPr>
      <w:r>
        <w:rPr>
          <w:rFonts w:ascii="Arial" w:hAnsi="Arial"/>
          <w:color w:val="000000"/>
          <w:sz w:val="21"/>
        </w:rPr>
        <w:t>El dashboard calcula cobertura sobre casos productivos y reutiliza el mismo contexto para la exportacion PDF. La cobertura D3FEND se infiere desde ATT&amp;CK mediante relaciones oficiales D3FEND-&gt;ATT&amp;CK.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729"/>
        <w:gridCol w:w="4729"/>
      </w:tblGrid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Vista/Reporte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Dashboard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KPIs de casos productivos, cobertura ATT&amp;CK, cobertura D3FEND y pendientes.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Matriz ATT&amp;CK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Cobertura por tactica, tecnica y subtecnica.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Matriz D3FEND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Cobertura defensiva inferida y controles parciales/completos.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PDF ejecutivo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Reporte con branding configurable, KPIs, tablas y graficos.</w:t>
            </w:r>
          </w:p>
        </w:tc>
      </w:tr>
    </w:tbl>
    <w:p/>
    <w:p>
      <w:pPr>
        <w:pStyle w:val="Ttulo2"/>
        <w:keepNext/>
        <w:spacing w:before="160" w:after="100"/>
      </w:pPr>
      <w:r>
        <w:rPr>
          <w:rFonts w:ascii="Arial" w:hAnsi="Arial"/>
          <w:color w:val="000000"/>
          <w:sz w:val="24"/>
        </w:rPr>
        <w:t>3.3 Lifecycle</w:t>
      </w:r>
    </w:p>
    <w:p>
      <w:pPr>
        <w:pStyle w:val="Listaconvietas"/>
        <w:spacing w:after="60" w:line="269" w:lineRule="auto"/>
      </w:pPr>
      <w:r>
        <w:rPr>
          <w:rFonts w:ascii="Arial" w:hAnsi="Arial"/>
          <w:color w:val="000000"/>
          <w:sz w:val="20"/>
        </w:rPr>
        <w:t>Ventanas de revision y proxima fecha configurable por LifecycleSettings.</w:t>
      </w:r>
    </w:p>
    <w:p>
      <w:pPr>
        <w:pStyle w:val="Listaconvietas"/>
        <w:spacing w:after="60" w:line="269" w:lineRule="auto"/>
      </w:pPr>
      <w:r>
        <w:rPr>
          <w:rFonts w:ascii="Arial" w:hAnsi="Arial"/>
          <w:color w:val="000000"/>
          <w:sz w:val="20"/>
        </w:rPr>
        <w:t>Responsable de control por caso.</w:t>
      </w:r>
    </w:p>
    <w:p>
      <w:pPr>
        <w:pStyle w:val="Listaconvietas"/>
        <w:spacing w:after="60" w:line="269" w:lineRule="auto"/>
      </w:pPr>
      <w:r>
        <w:rPr>
          <w:rFonts w:ascii="Arial" w:hAnsi="Arial"/>
          <w:color w:val="000000"/>
          <w:sz w:val="20"/>
        </w:rPr>
        <w:t>Finalizacion con resultado, evidencia historica y recalculo de proxima revision.</w:t>
      </w:r>
    </w:p>
    <w:p>
      <w:pPr>
        <w:pStyle w:val="Listaconvietas"/>
        <w:spacing w:after="60" w:line="269" w:lineRule="auto"/>
      </w:pPr>
      <w:r>
        <w:rPr>
          <w:rFonts w:ascii="Arial" w:hAnsi="Arial"/>
          <w:color w:val="000000"/>
          <w:sz w:val="20"/>
        </w:rPr>
        <w:t>Permisos: Admin puede reasignar; Analyst finaliza casos propios o asignados.</w:t>
      </w:r>
    </w:p>
    <w:p>
      <w:pPr>
        <w:pStyle w:val="Ttulo2"/>
        <w:keepNext/>
        <w:spacing w:before="160" w:after="100"/>
      </w:pPr>
      <w:r>
        <w:rPr>
          <w:rFonts w:ascii="Arial" w:hAnsi="Arial"/>
          <w:color w:val="000000"/>
          <w:sz w:val="24"/>
        </w:rPr>
        <w:t>3.4 Autenticacion y roles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729"/>
        <w:gridCol w:w="4729"/>
      </w:tblGrid>
      <w:tr>
        <w:tc>
          <w:tcPr>
            <w:tcW w:type="dxa" w:w="20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Rol</w:t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Permisos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Admin</w:t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Acceso completo, admin Django, configuraciones, catalogos, coverage admin y lifecycle.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Analyst</w:t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Gestion de casos propios/asignados, inventario, lifecycle asignado e import/export segun permisos.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ReadOnly</w:t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Acceso de consulta al dashboard sin operacion de inventario ni admin.</w:t>
            </w:r>
          </w:p>
        </w:tc>
      </w:tr>
    </w:tbl>
    <w:p/>
    <w:p>
      <w:pPr>
        <w:pStyle w:val="Ttulo1"/>
        <w:keepNext/>
        <w:spacing w:before="240" w:after="100"/>
      </w:pPr>
      <w:r>
        <w:rPr>
          <w:rFonts w:ascii="Arial" w:hAnsi="Arial"/>
          <w:b/>
          <w:color w:val="000000"/>
          <w:sz w:val="28"/>
        </w:rPr>
        <w:t>4. Requerimientos tecnicos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729"/>
        <w:gridCol w:w="4729"/>
      </w:tblGrid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Runtime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Python 3.12+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Framework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Django 6.0.5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Base de datos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PostgreSQL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Contenedores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Docker y Docker Compose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Servidor app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Gunicorn recomendado en produccion; runserver para desarrollo local.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Sistema recomendado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Linux para produccion; Windows valido para desarrollo local con Docker Desktop.</w:t>
            </w:r>
          </w:p>
        </w:tc>
      </w:tr>
    </w:tbl>
    <w:p/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729"/>
        <w:gridCol w:w="4729"/>
      </w:tblGrid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Django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Framework web y ORM.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psycopg[binary]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Driver PostgreSQL.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gunicorn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Servidor WSGI.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openpyxl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Importacion/exportacion Excel.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requests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Descarga de catalogos ATT&amp;CK/D3FEND.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ldap3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Autenticacion y pruebas LDAP/LDAPS.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Pillow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Imagenes/logos de reportes.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reportlab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PDF ejecutivo.</w:t>
            </w:r>
          </w:p>
        </w:tc>
      </w:tr>
    </w:tbl>
    <w:p/>
    <w:p>
      <w:pPr>
        <w:pStyle w:val="Ttulo1"/>
        <w:keepNext/>
        <w:spacing w:before="240" w:after="100"/>
      </w:pPr>
      <w:r>
        <w:rPr>
          <w:rFonts w:ascii="Arial" w:hAnsi="Arial"/>
          <w:b/>
          <w:color w:val="000000"/>
          <w:sz w:val="28"/>
        </w:rPr>
        <w:t>5. Variables de entorno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53"/>
        <w:gridCol w:w="3153"/>
        <w:gridCol w:w="3153"/>
      </w:tblGrid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Obligatoria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SECRET_KEY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Si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Clave secreta Django; debe ser unica en produccion.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DEBUG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Si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0 en produccion.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ALLOWED_HOSTS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Si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Hosts permitidos separados por coma.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POSTGRES_DB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Si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Nombre de la base.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POSTGRES_USER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Si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Usuario DB.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POSTGRES_PASSWORD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Si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Password DB.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POSTGRES_HOST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Si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En Docker suele ser db.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POSTGRES_PORT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Si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Default interno 5432.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LOG_DIR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No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Directorio de logs; en Docker /logs.</w:t>
            </w:r>
          </w:p>
        </w:tc>
      </w:tr>
    </w:tbl>
    <w:p/>
    <w:p>
      <w:pPr>
        <w:pStyle w:val="Ttulo1"/>
        <w:keepNext/>
        <w:spacing w:before="240" w:after="100"/>
      </w:pPr>
      <w:r>
        <w:rPr>
          <w:rFonts w:ascii="Arial" w:hAnsi="Arial"/>
          <w:b/>
          <w:color w:val="000000"/>
          <w:sz w:val="28"/>
        </w:rPr>
        <w:t>6. Red, puertos y conexiones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364"/>
        <w:gridCol w:w="2364"/>
        <w:gridCol w:w="2364"/>
        <w:gridCol w:w="2364"/>
      </w:tblGrid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Docker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Host local</w:t>
            </w:r>
          </w:p>
        </w:tc>
        <w:tc>
          <w:tcPr>
            <w:tcW w:type="dxa" w:w="40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web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8000/tcp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8000/tcp</w:t>
            </w:r>
          </w:p>
        </w:tc>
        <w:tc>
          <w:tcPr>
            <w:tcW w:type="dxa" w:w="40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Django, UI, Admin, PDF y Excel.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db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5432/tcp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5433/tcp</w:t>
            </w:r>
          </w:p>
        </w:tc>
        <w:tc>
          <w:tcPr>
            <w:tcW w:type="dxa" w:w="40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PostgreSQL; app usa db:5432 dentro de Docker.</w:t>
            </w:r>
          </w:p>
        </w:tc>
      </w:tr>
    </w:tbl>
    <w:p/>
    <w:p>
      <w:pPr>
        <w:spacing w:after="120" w:line="276" w:lineRule="auto"/>
      </w:pPr>
      <w:r>
        <w:rPr>
          <w:rFonts w:ascii="Arial" w:hAnsi="Arial"/>
          <w:color w:val="000000"/>
          <w:sz w:val="21"/>
        </w:rPr>
        <w:t>En produccion se recomienda exponer la aplicacion detras de un reverse proxy HTTPS. El puerto externo final depende del proxy, pero el contenedor web escucha en 8000.</w:t>
      </w:r>
    </w:p>
    <w:p>
      <w:pPr>
        <w:pStyle w:val="Ttulo1"/>
        <w:keepNext/>
        <w:spacing w:before="240" w:after="100"/>
      </w:pPr>
      <w:r>
        <w:rPr>
          <w:rFonts w:ascii="Arial" w:hAnsi="Arial"/>
          <w:b/>
          <w:color w:val="000000"/>
          <w:sz w:val="28"/>
        </w:rPr>
        <w:t>7. Fuentes externas y cantidad de consultas</w:t>
      </w:r>
    </w:p>
    <w:p>
      <w:pPr>
        <w:spacing w:after="120" w:line="276" w:lineRule="auto"/>
      </w:pPr>
      <w:r>
        <w:rPr>
          <w:rFonts w:ascii="Arial" w:hAnsi="Arial"/>
          <w:color w:val="000000"/>
          <w:sz w:val="21"/>
        </w:rPr>
        <w:t>La sincronizacion completa necesita salida HTTPS por 443/tcp. ATT&amp;CK se obtiene desde la fuente oficial STIX 2.1 publicada por MITRE en GitHub; D3FEND se obtiene desde recursos oficiales MITRE D3FEND.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892"/>
        <w:gridCol w:w="1892"/>
        <w:gridCol w:w="1892"/>
        <w:gridCol w:w="1892"/>
        <w:gridCol w:w="1892"/>
      </w:tblGrid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Host:puerto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Consultas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Timeout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ATT&amp;CK Enterprise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MITRE ATT&amp;CK STIX 2.1 oficial, repo mitre-attack/attack-stix-data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raw.githubusercontent.com:443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120s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Catalogo D3FEND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MITRE D3FEND Ontology Releases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d3fend.mitre.org:443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120s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Mappings D3FEND-&gt;ATT&amp;CK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MITRE D3FEND API/recurso de relaciones inferidas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d3fend.mitre.org:443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120s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Normalizacion D3FEND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MITRE D3FEND API/sitio oficial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d3fend.mitre.org:443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Hasta 2 por D3FEND sin codigo D3-*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30s</w:t>
            </w:r>
          </w:p>
        </w:tc>
      </w:tr>
    </w:tbl>
    <w:p/>
    <w:p>
      <w:pPr>
        <w:spacing w:before="80" w:after="160"/>
        <w:ind w:left="216" w:right="216"/>
        <w:shd w:fill="F4F6F8"/>
      </w:pPr>
      <w:r>
        <w:rPr>
          <w:rFonts w:ascii="Courier New" w:hAnsi="Courier New"/>
          <w:color w:val="283341"/>
          <w:sz w:val="18"/>
        </w:rPr>
        <w:t>Consultas externas aproximadas por corrida completa:</w:t>
        <w:br/>
        <w:t>4 + hasta 2 * cantidad_de_d3fend_sin_codigo_oficial</w:t>
      </w:r>
    </w:p>
    <w:p>
      <w:pPr>
        <w:spacing w:after="120" w:line="276" w:lineRule="auto"/>
      </w:pPr>
      <w:r>
        <w:rPr>
          <w:rFonts w:ascii="Arial" w:hAnsi="Arial"/>
          <w:color w:val="000000"/>
          <w:sz w:val="21"/>
        </w:rPr>
        <w:t>Nota: attack.mitre.org es el sitio humano de ATT&amp;CK; para sincronizacion estructurada se usa el JSON STIX oficial mantenido por MITRE en GitHub.</w:t>
      </w:r>
    </w:p>
    <w:p>
      <w:pPr>
        <w:pStyle w:val="Ttulo1"/>
        <w:keepNext/>
        <w:spacing w:before="240" w:after="100"/>
      </w:pPr>
      <w:r>
        <w:rPr>
          <w:rFonts w:ascii="Arial" w:hAnsi="Arial"/>
          <w:b/>
          <w:color w:val="000000"/>
          <w:sz w:val="28"/>
        </w:rPr>
        <w:t>8. Cron de sincronizacion completa</w:t>
      </w:r>
    </w:p>
    <w:p>
      <w:pPr>
        <w:spacing w:after="120" w:line="276" w:lineRule="auto"/>
      </w:pPr>
      <w:r>
        <w:rPr>
          <w:rFonts w:ascii="Arial" w:hAnsi="Arial"/>
          <w:color w:val="000000"/>
          <w:sz w:val="21"/>
        </w:rPr>
        <w:t>La agenda vive en Django Admin, modelo MitreAttackSyncSettings. Una configuracion activa define intervalo en horas o dias, ultimo estado, ultimo mensaje, proxima ejecucion y contadores.</w:t>
      </w:r>
    </w:p>
    <w:p>
      <w:pPr>
        <w:spacing w:before="80" w:after="160"/>
        <w:ind w:left="216" w:right="216"/>
        <w:shd w:fill="F4F6F8"/>
      </w:pPr>
      <w:r>
        <w:rPr>
          <w:rFonts w:ascii="Courier New" w:hAnsi="Courier New"/>
          <w:color w:val="283341"/>
          <w:sz w:val="18"/>
        </w:rPr>
        <w:t>docker compose run --rm web python manage.py sync_security_frameworks_scheduled</w:t>
        <w:br/>
        <w:t>docker compose run --rm web python manage.py sync_security_frameworks_scheduled --force</w:t>
      </w:r>
    </w:p>
    <w:p>
      <w:pPr>
        <w:pStyle w:val="Prrafodelista"/>
        <w:spacing w:after="60" w:line="269" w:lineRule="auto"/>
      </w:pPr>
      <w:r>
        <w:rPr>
          <w:rFonts w:ascii="Arial" w:hAnsi="Arial"/>
          <w:color w:val="000000"/>
          <w:sz w:val="20"/>
        </w:rPr>
        <w:t>- Sincroniza ATT&amp;CK Enterprise.</w:t>
      </w:r>
    </w:p>
    <w:p>
      <w:pPr>
        <w:pStyle w:val="Prrafodelista"/>
        <w:spacing w:after="60" w:line="269" w:lineRule="auto"/>
      </w:pPr>
      <w:r>
        <w:rPr>
          <w:rFonts w:ascii="Arial" w:hAnsi="Arial"/>
          <w:color w:val="000000"/>
          <w:sz w:val="20"/>
        </w:rPr>
        <w:t>- Carga/actualiza D3FEND.</w:t>
      </w:r>
    </w:p>
    <w:p>
      <w:pPr>
        <w:pStyle w:val="Prrafodelista"/>
        <w:spacing w:after="60" w:line="269" w:lineRule="auto"/>
      </w:pPr>
      <w:r>
        <w:rPr>
          <w:rFonts w:ascii="Arial" w:hAnsi="Arial"/>
          <w:color w:val="000000"/>
          <w:sz w:val="20"/>
        </w:rPr>
        <w:t>- Reconstruye mappings D3FEND-&gt;ATT&amp;CK.</w:t>
      </w:r>
    </w:p>
    <w:p>
      <w:pPr>
        <w:pStyle w:val="Prrafodelista"/>
        <w:spacing w:after="60" w:line="269" w:lineRule="auto"/>
      </w:pPr>
      <w:r>
        <w:rPr>
          <w:rFonts w:ascii="Arial" w:hAnsi="Arial"/>
          <w:color w:val="000000"/>
          <w:sz w:val="20"/>
        </w:rPr>
        <w:t>- Normaliza codigos D3FEND cuando corresponde.</w:t>
      </w:r>
    </w:p>
    <w:p>
      <w:pPr>
        <w:pStyle w:val="Prrafodelista"/>
        <w:spacing w:after="60" w:line="269" w:lineRule="auto"/>
      </w:pPr>
      <w:r>
        <w:rPr>
          <w:rFonts w:ascii="Arial" w:hAnsi="Arial"/>
          <w:color w:val="000000"/>
          <w:sz w:val="20"/>
        </w:rPr>
        <w:t>- Recalcula D3FEND inferido en casos de uso.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</w:tblPr>
      <w:tblGrid>
        <w:gridCol w:w="9458"/>
      </w:tblGrid>
      <w:tr>
        <w:tc>
          <w:tcPr>
            <w:tcW w:type="dxa" w:w="9458"/>
            <w:shd w:fill="FBECE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rial" w:hAnsi="Arial"/>
                <w:b/>
                <w:color w:val="C00000"/>
                <w:sz w:val="21"/>
              </w:rPr>
              <w:t>Recomendacion operativa</w:t>
            </w:r>
          </w:p>
          <w:p>
            <w:pPr>
              <w:spacing w:after="0"/>
            </w:pPr>
            <w:r>
              <w:rPr>
                <w:rFonts w:ascii="Arial" w:hAnsi="Arial"/>
                <w:color w:val="000000"/>
                <w:sz w:val="20"/>
              </w:rPr>
              <w:t>Programar el cron externo cada hora y dejar que MitreAttackSyncSettings decida si corresponde ejecutar segun interval_value e interval_unit.</w:t>
            </w:r>
          </w:p>
        </w:tc>
      </w:tr>
    </w:tbl>
    <w:p/>
    <w:p>
      <w:pPr>
        <w:pStyle w:val="Ttulo1"/>
        <w:keepNext/>
        <w:spacing w:before="240" w:after="100"/>
      </w:pPr>
      <w:r>
        <w:rPr>
          <w:rFonts w:ascii="Arial" w:hAnsi="Arial"/>
          <w:b/>
          <w:color w:val="000000"/>
          <w:sz w:val="28"/>
        </w:rPr>
        <w:t>9. LDAP/LDAPS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53"/>
        <w:gridCol w:w="3153"/>
        <w:gridCol w:w="3153"/>
      </w:tblGrid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Modo</w:t>
            </w:r>
          </w:p>
        </w:tc>
        <w:tc>
          <w:tcPr>
            <w:tcW w:type="dxa" w:w="20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Puerto tipico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Configuracion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LDAP sin TLS</w:t>
            </w:r>
          </w:p>
        </w:tc>
        <w:tc>
          <w:tcPr>
            <w:tcW w:type="dxa" w:w="20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389/tcp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server_uri=ldap://servidor:389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LDAPS</w:t>
            </w:r>
          </w:p>
        </w:tc>
        <w:tc>
          <w:tcPr>
            <w:tcW w:type="dxa" w:w="20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636/tcp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server_uri=ldaps://servidor:636</w:t>
            </w:r>
          </w:p>
        </w:tc>
      </w:tr>
    </w:tbl>
    <w:p/>
    <w:p>
      <w:pPr>
        <w:spacing w:after="120" w:line="276" w:lineRule="auto"/>
      </w:pPr>
      <w:r>
        <w:rPr>
          <w:rFonts w:ascii="Arial" w:hAnsi="Arial"/>
          <w:color w:val="000000"/>
          <w:sz w:val="21"/>
        </w:rPr>
        <w:t>El login LDAP busca el usuario con user_search_base/user_search_filter o arma DN con user_dn_template. Luego intenta bind con usuario y password. El boton Probar conexion hace bind con bind_dn y bind_password y registra el resultado.</w:t>
      </w:r>
    </w:p>
    <w:p>
      <w:pPr>
        <w:pStyle w:val="Ttulo1"/>
        <w:keepNext/>
        <w:spacing w:before="240" w:after="100"/>
      </w:pPr>
      <w:r>
        <w:rPr>
          <w:rFonts w:ascii="Arial" w:hAnsi="Arial"/>
          <w:b/>
          <w:color w:val="000000"/>
          <w:sz w:val="28"/>
        </w:rPr>
        <w:t>10. Logs y auditoria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729"/>
        <w:gridCol w:w="4729"/>
      </w:tblGrid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logs/auth.log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Login, logout, fallos de login y eventos LDAP.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logs/mitre_sync.log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Descarga, omisiones, errores y resultados de sincronizacion MITRE/frameworks.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logs/app.log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Warnings y errores HTTP Django.</w:t>
            </w:r>
          </w:p>
        </w:tc>
      </w:tr>
    </w:tbl>
    <w:p/>
    <w:p>
      <w:pPr>
        <w:spacing w:after="120" w:line="276" w:lineRule="auto"/>
      </w:pPr>
      <w:r>
        <w:rPr>
          <w:rFonts w:ascii="Arial" w:hAnsi="Arial"/>
          <w:color w:val="000000"/>
          <w:sz w:val="21"/>
        </w:rPr>
        <w:t>Los logs son rotativos: 5 MB por archivo y 5 backups. Docker monta ./logs del host en /logs dentro del contenedor.</w:t>
      </w:r>
    </w:p>
    <w:p>
      <w:pPr>
        <w:pStyle w:val="Ttulo1"/>
        <w:keepNext/>
        <w:spacing w:before="240" w:after="100"/>
      </w:pPr>
      <w:r>
        <w:rPr>
          <w:rFonts w:ascii="Arial" w:hAnsi="Arial"/>
          <w:b/>
          <w:color w:val="000000"/>
          <w:sz w:val="28"/>
        </w:rPr>
        <w:t>11. Instalacion local con Docker</w:t>
      </w:r>
    </w:p>
    <w:p>
      <w:pPr>
        <w:spacing w:before="80" w:after="160"/>
        <w:ind w:left="216" w:right="216"/>
        <w:shd w:fill="F4F6F8"/>
      </w:pPr>
      <w:r>
        <w:rPr>
          <w:rFonts w:ascii="Courier New" w:hAnsi="Courier New"/>
          <w:color w:val="283341"/>
          <w:sz w:val="18"/>
        </w:rPr>
        <w:t>git clone https://github.com/mrkeso1/soc_usecases.git</w:t>
        <w:br/>
        <w:t>cd soc_usecases</w:t>
        <w:br/>
        <w:t>cp .env.example .env</w:t>
        <w:br/>
        <w:t>docker compose up -d --build</w:t>
        <w:br/>
        <w:t>docker compose run --rm web python manage.py migrate</w:t>
        <w:br/>
        <w:t>docker compose run --rm web python manage.py seed_groups</w:t>
        <w:br/>
        <w:t>docker compose run --rm web python manage.py createsuperuser</w:t>
        <w:br/>
        <w:t>docker compose run --rm web python manage.py seed_demo_data</w:t>
      </w:r>
    </w:p>
    <w:p>
      <w:pPr>
        <w:spacing w:after="120" w:line="276" w:lineRule="auto"/>
      </w:pPr>
      <w:r>
        <w:rPr>
          <w:rFonts w:ascii="Arial" w:hAnsi="Arial"/>
          <w:color w:val="000000"/>
          <w:sz w:val="21"/>
        </w:rPr>
        <w:t>Luego abrir http://localhost:8000/.</w:t>
      </w:r>
    </w:p>
    <w:p>
      <w:pPr>
        <w:pStyle w:val="Ttulo1"/>
        <w:keepNext/>
        <w:spacing w:before="240" w:after="100"/>
      </w:pPr>
      <w:r>
        <w:rPr>
          <w:rFonts w:ascii="Arial" w:hAnsi="Arial"/>
          <w:b/>
          <w:color w:val="000000"/>
          <w:sz w:val="28"/>
        </w:rPr>
        <w:t>12. Datos demo y validacion</w:t>
      </w:r>
    </w:p>
    <w:p>
      <w:pPr>
        <w:spacing w:after="120" w:line="276" w:lineRule="auto"/>
      </w:pPr>
      <w:r>
        <w:rPr>
          <w:rFonts w:ascii="Arial" w:hAnsi="Arial"/>
          <w:color w:val="000000"/>
          <w:sz w:val="21"/>
        </w:rPr>
        <w:t>El comando seed_demo_data crea usuarios por rol, catalogos ATT&amp;CK/D3FEND, casos productivos/test/desarrollo, revisiones lifecycle, overrides y configuraciones demo.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53"/>
        <w:gridCol w:w="3153"/>
        <w:gridCol w:w="3153"/>
      </w:tblGrid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Usuario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Password default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demo_admin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Admin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Demo12345!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demo_analyst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Analyst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Demo12345!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demo_owner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Analyst/control owner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Demo12345!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demo_readonly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ReadOnly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Demo12345!</w:t>
            </w:r>
          </w:p>
        </w:tc>
      </w:tr>
    </w:tbl>
    <w:p/>
    <w:p>
      <w:pPr>
        <w:spacing w:before="80" w:after="160"/>
        <w:ind w:left="216" w:right="216"/>
        <w:shd w:fill="F4F6F8"/>
      </w:pPr>
      <w:r>
        <w:rPr>
          <w:rFonts w:ascii="Courier New" w:hAnsi="Courier New"/>
          <w:color w:val="283341"/>
          <w:sz w:val="18"/>
        </w:rPr>
        <w:t>docker compose run --rm web python manage.py test --noinput</w:t>
        <w:br/>
        <w:t>docker compose run --rm web python manage.py makemigrations --check --dry-run</w:t>
      </w:r>
    </w:p>
    <w:p>
      <w:pPr>
        <w:pStyle w:val="Ttulo1"/>
        <w:keepNext/>
        <w:spacing w:before="240" w:after="100"/>
      </w:pPr>
      <w:r>
        <w:rPr>
          <w:rFonts w:ascii="Arial" w:hAnsi="Arial"/>
          <w:b/>
          <w:color w:val="000000"/>
          <w:sz w:val="28"/>
        </w:rPr>
        <w:t>13. Checklist de despliegue</w:t>
      </w:r>
    </w:p>
    <w:p>
      <w:pPr>
        <w:pStyle w:val="Prrafodelista"/>
        <w:spacing w:after="60" w:line="269" w:lineRule="auto"/>
      </w:pPr>
      <w:r>
        <w:rPr>
          <w:rFonts w:ascii="Arial" w:hAnsi="Arial"/>
          <w:color w:val="000000"/>
          <w:sz w:val="20"/>
        </w:rPr>
        <w:t>- Configurar SECRET_KEY, DEBUG=0, ALLOWED_HOSTS, PostgreSQL y LOG_DIR.</w:t>
      </w:r>
    </w:p>
    <w:p>
      <w:pPr>
        <w:pStyle w:val="Prrafodelista"/>
        <w:spacing w:after="60" w:line="269" w:lineRule="auto"/>
      </w:pPr>
      <w:r>
        <w:rPr>
          <w:rFonts w:ascii="Arial" w:hAnsi="Arial"/>
          <w:color w:val="000000"/>
          <w:sz w:val="20"/>
        </w:rPr>
        <w:t>- Ejecutar migraciones y seed_groups.</w:t>
      </w:r>
    </w:p>
    <w:p>
      <w:pPr>
        <w:pStyle w:val="Prrafodelista"/>
        <w:spacing w:after="60" w:line="269" w:lineRule="auto"/>
      </w:pPr>
      <w:r>
        <w:rPr>
          <w:rFonts w:ascii="Arial" w:hAnsi="Arial"/>
          <w:color w:val="000000"/>
          <w:sz w:val="20"/>
        </w:rPr>
        <w:t>- Crear o validar superusuario.</w:t>
      </w:r>
    </w:p>
    <w:p>
      <w:pPr>
        <w:pStyle w:val="Prrafodelista"/>
        <w:spacing w:after="60" w:line="269" w:lineRule="auto"/>
      </w:pPr>
      <w:r>
        <w:rPr>
          <w:rFonts w:ascii="Arial" w:hAnsi="Arial"/>
          <w:color w:val="000000"/>
          <w:sz w:val="20"/>
        </w:rPr>
        <w:t>- Configurar MitreAttackSyncSettings activo.</w:t>
      </w:r>
    </w:p>
    <w:p>
      <w:pPr>
        <w:pStyle w:val="Prrafodelista"/>
        <w:spacing w:after="60" w:line="269" w:lineRule="auto"/>
      </w:pPr>
      <w:r>
        <w:rPr>
          <w:rFonts w:ascii="Arial" w:hAnsi="Arial"/>
          <w:color w:val="000000"/>
          <w:sz w:val="20"/>
        </w:rPr>
        <w:t>- Configurar cron externo para sync_security_frameworks_scheduled.</w:t>
      </w:r>
    </w:p>
    <w:p>
      <w:pPr>
        <w:pStyle w:val="Prrafodelista"/>
        <w:spacing w:after="60" w:line="269" w:lineRule="auto"/>
      </w:pPr>
      <w:r>
        <w:rPr>
          <w:rFonts w:ascii="Arial" w:hAnsi="Arial"/>
          <w:color w:val="000000"/>
          <w:sz w:val="20"/>
        </w:rPr>
        <w:t>- Configurar LDAP solo si aplica y probar conexion.</w:t>
      </w:r>
    </w:p>
    <w:p>
      <w:pPr>
        <w:pStyle w:val="Prrafodelista"/>
        <w:spacing w:after="60" w:line="269" w:lineRule="auto"/>
      </w:pPr>
      <w:r>
        <w:rPr>
          <w:rFonts w:ascii="Arial" w:hAnsi="Arial"/>
          <w:color w:val="000000"/>
          <w:sz w:val="20"/>
        </w:rPr>
        <w:t>- Montar volumen persistente para MEDIA_ROOT si se usan logos PDF.</w:t>
      </w:r>
    </w:p>
    <w:p>
      <w:pPr>
        <w:pStyle w:val="Prrafodelista"/>
        <w:spacing w:after="60" w:line="269" w:lineRule="auto"/>
      </w:pPr>
      <w:r>
        <w:rPr>
          <w:rFonts w:ascii="Arial" w:hAnsi="Arial"/>
          <w:color w:val="000000"/>
          <w:sz w:val="20"/>
        </w:rPr>
        <w:t>- Validar Dashboard, PDF, Inventario, Lifecycle, LDAP Admin y logs.</w:t>
      </w:r>
    </w:p>
    <w:p>
      <w:pPr>
        <w:pStyle w:val="Prrafodelista"/>
        <w:spacing w:after="60" w:line="269" w:lineRule="auto"/>
      </w:pPr>
      <w:r>
        <w:rPr>
          <w:rFonts w:ascii="Arial" w:hAnsi="Arial"/>
          <w:color w:val="000000"/>
          <w:sz w:val="20"/>
        </w:rPr>
        <w:t>- Ejecutar tests y makemigrations --check antes de desplegar.</w:t>
      </w:r>
    </w:p>
    <w:p>
      <w:pPr>
        <w:pStyle w:val="Ttulo1"/>
        <w:keepNext/>
        <w:spacing w:before="240" w:after="100"/>
      </w:pPr>
      <w:r>
        <w:rPr>
          <w:rFonts w:ascii="Arial" w:hAnsi="Arial"/>
          <w:b/>
          <w:color w:val="000000"/>
          <w:sz w:val="28"/>
        </w:rPr>
        <w:t>14. Fuentes y referencias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729"/>
        <w:gridCol w:w="4729"/>
      </w:tblGrid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C0000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https://github.com/mitre-attack/attack-stix-data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Dataset oficial ATT&amp;CK STIX 2.1.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https://raw.githubusercontent.com/mitre-attack/attack-stix-data/master/enterprise-attack/enterprise-attack.json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JSON Enterprise ATT&amp;CK consumido por el sync.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https://d3fend.mitre.org/resources/ontology/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Recursos oficiales de ontologia D3FEND.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https://d3fend.mitre.org/api/ontology/inference/d3fend-full-mappings.csv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Relaciones inferidas D3FEND-&gt;ATT&amp;CK.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https://d3fend.mitre.org/api-docs/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Documentacion API D3FEND.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https://docs.djangoproject.com/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Framework Django.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https://www.postgresql.org/docs/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000000"/>
                <w:sz w:val="18"/>
              </w:rPr>
              <w:t>Base de datos PostgreSQL.</w:t>
            </w:r>
          </w:p>
        </w:tc>
      </w:tr>
    </w:tbl>
    <w:p/>
    <w:p>
      <w:pPr>
        <w:pStyle w:val="Ttulo1"/>
        <w:keepNext/>
        <w:spacing w:before="240" w:after="100"/>
      </w:pPr>
      <w:r>
        <w:rPr>
          <w:rFonts w:ascii="Arial" w:hAnsi="Arial"/>
          <w:b/>
          <w:color w:val="000000"/>
          <w:sz w:val="28"/>
        </w:rPr>
        <w:t>Anexo A. Comandos operativos</w:t>
      </w:r>
    </w:p>
    <w:p>
      <w:pPr>
        <w:spacing w:before="80" w:after="160"/>
        <w:ind w:left="216" w:right="216"/>
        <w:shd w:fill="F4F6F8"/>
      </w:pPr>
      <w:r>
        <w:rPr>
          <w:rFonts w:ascii="Courier New" w:hAnsi="Courier New"/>
          <w:color w:val="283341"/>
          <w:sz w:val="18"/>
        </w:rPr>
        <w:t>docker compose run --rm web python manage.py migrate</w:t>
        <w:br/>
        <w:t>docker compose run --rm web python manage.py seed_groups</w:t>
        <w:br/>
        <w:t>docker compose run --rm web python manage.py seed_demo_data --reset</w:t>
        <w:br/>
        <w:t>docker compose run --rm web python manage.py import_usecases archivo.xlsx --update</w:t>
        <w:br/>
        <w:t>docker compose run --rm web python manage.py load_mitre_attack</w:t>
        <w:br/>
        <w:t>docker compose run --rm web python manage.py load_d3fend</w:t>
        <w:br/>
        <w:t>docker compose run --rm web python manage.py sync_security_frameworks_scheduled --force</w:t>
      </w:r>
    </w:p>
    <w:sectPr w:rsidR="003B69EF" w:rsidRPr="003B69EF" w:rsidSect="003454A4">
      <w:footerReference w:type="default" r:id="rId33"/>
      <w:headerReference w:type="default" r:id="rId37"/>
      <w:pgSz w:w="11906" w:h="16838"/>
      <w:pgMar w:top="1224" w:right="1224" w:bottom="1080" w:left="1224" w:header="648" w:footer="64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434BD" w14:textId="77777777" w:rsidR="003839AA" w:rsidRPr="00CB4378" w:rsidRDefault="003839AA" w:rsidP="007F2FB4">
      <w:pPr>
        <w:spacing w:after="0" w:line="240" w:lineRule="auto"/>
      </w:pPr>
      <w:r w:rsidRPr="00CB4378">
        <w:separator/>
      </w:r>
    </w:p>
  </w:endnote>
  <w:endnote w:type="continuationSeparator" w:id="0">
    <w:p w14:paraId="48E5B317" w14:textId="77777777" w:rsidR="003839AA" w:rsidRPr="00CB4378" w:rsidRDefault="003839AA" w:rsidP="007F2FB4">
      <w:pPr>
        <w:spacing w:after="0" w:line="240" w:lineRule="auto"/>
      </w:pPr>
      <w:r w:rsidRPr="00CB437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12D36" w14:textId="65532BA4" w:rsidR="00C838E9" w:rsidRPr="00FC0B05" w:rsidRDefault="007F2FB4" w:rsidP="00FC0B05">
    <w:pPr>
      <w:pStyle w:val="Piedepgina"/>
      <w:jc w:val="center"/>
      <w:rPr>
        <w:sz w:val="18"/>
        <w:szCs w:val="18"/>
      </w:rPr>
    </w:pPr>
    <w:r w:rsidRPr="00C838E9">
      <w:rPr>
        <w:sz w:val="16"/>
        <w:szCs w:val="16"/>
      </w:rPr>
      <w:t xml:space="preserve">pág. </w:t>
    </w:r>
    <w:r w:rsidRPr="00C838E9">
      <w:rPr>
        <w:sz w:val="16"/>
        <w:szCs w:val="16"/>
      </w:rPr>
      <w:fldChar w:fldCharType="begin"/>
    </w:r>
    <w:r w:rsidRPr="00C838E9">
      <w:rPr>
        <w:sz w:val="16"/>
        <w:szCs w:val="16"/>
      </w:rPr>
      <w:instrText>PAGE  \* Arabic</w:instrText>
    </w:r>
    <w:r w:rsidRPr="00C838E9">
      <w:rPr>
        <w:sz w:val="16"/>
        <w:szCs w:val="16"/>
      </w:rPr>
      <w:fldChar w:fldCharType="separate"/>
    </w:r>
    <w:r w:rsidRPr="00C838E9">
      <w:rPr>
        <w:sz w:val="16"/>
        <w:szCs w:val="16"/>
      </w:rPr>
      <w:t>1</w:t>
    </w:r>
    <w:r w:rsidRPr="00C838E9">
      <w:rPr>
        <w:sz w:val="16"/>
        <w:szCs w:val="16"/>
      </w:rPr>
      <w:fldChar w:fldCharType="end"/>
    </w:r>
    <w:r>
      <w:rPr>
        <w:rFonts w:ascii="Arial" w:hAnsi="Arial"/>
        <w:color w:val="5A697D"/>
        <w:sz w:val="17"/>
      </w:rPr>
      <w:t>Documento tecnico-operativo | Uso interno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39779" w14:textId="77777777" w:rsidR="003839AA" w:rsidRPr="00CB4378" w:rsidRDefault="003839AA" w:rsidP="007F2FB4">
      <w:pPr>
        <w:spacing w:after="0" w:line="240" w:lineRule="auto"/>
      </w:pPr>
      <w:r w:rsidRPr="00CB4378">
        <w:separator/>
      </w:r>
    </w:p>
  </w:footnote>
  <w:footnote w:type="continuationSeparator" w:id="0">
    <w:p w14:paraId="0C9F8758" w14:textId="77777777" w:rsidR="003839AA" w:rsidRPr="00CB4378" w:rsidRDefault="003839AA" w:rsidP="007F2FB4">
      <w:pPr>
        <w:spacing w:after="0" w:line="240" w:lineRule="auto"/>
      </w:pPr>
      <w:r w:rsidRPr="00CB4378"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697D"/>
        <w:sz w:val="17"/>
      </w:rPr>
      <w:t>SOC Use Cases Manager | Documentacion tecnica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D8A61C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5C4CFE"/>
    <w:multiLevelType w:val="hybridMultilevel"/>
    <w:tmpl w:val="E2B86A12"/>
    <w:lvl w:ilvl="0" w:tplc="06765010">
      <w:numFmt w:val="bullet"/>
      <w:lvlText w:val="•"/>
      <w:lvlJc w:val="left"/>
      <w:pPr>
        <w:ind w:left="142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0E5A62"/>
    <w:multiLevelType w:val="hybridMultilevel"/>
    <w:tmpl w:val="38A4484A"/>
    <w:lvl w:ilvl="0" w:tplc="06765010">
      <w:numFmt w:val="bullet"/>
      <w:lvlText w:val="•"/>
      <w:lvlJc w:val="left"/>
      <w:pPr>
        <w:ind w:left="106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F7DAA"/>
    <w:multiLevelType w:val="hybridMultilevel"/>
    <w:tmpl w:val="5E6CB930"/>
    <w:lvl w:ilvl="0" w:tplc="DF1E056C">
      <w:start w:val="8088"/>
      <w:numFmt w:val="bullet"/>
      <w:lvlText w:val=""/>
      <w:lvlJc w:val="left"/>
      <w:pPr>
        <w:ind w:left="720" w:hanging="360"/>
      </w:pPr>
      <w:rPr>
        <w:rFonts w:ascii="Wingdings" w:eastAsia="Arial" w:hAnsi="Wingdings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541A2"/>
    <w:multiLevelType w:val="hybridMultilevel"/>
    <w:tmpl w:val="E04C486C"/>
    <w:lvl w:ilvl="0" w:tplc="06765010">
      <w:numFmt w:val="bullet"/>
      <w:lvlText w:val="•"/>
      <w:lvlJc w:val="left"/>
      <w:pPr>
        <w:ind w:left="106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D61F92"/>
    <w:multiLevelType w:val="hybridMultilevel"/>
    <w:tmpl w:val="9A4A880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6D6A79"/>
    <w:multiLevelType w:val="hybridMultilevel"/>
    <w:tmpl w:val="DAD6FECC"/>
    <w:lvl w:ilvl="0" w:tplc="06765010">
      <w:numFmt w:val="bullet"/>
      <w:lvlText w:val="•"/>
      <w:lvlJc w:val="left"/>
      <w:pPr>
        <w:ind w:left="106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51BCD"/>
    <w:multiLevelType w:val="hybridMultilevel"/>
    <w:tmpl w:val="450EBD92"/>
    <w:lvl w:ilvl="0" w:tplc="2C0A000B">
      <w:start w:val="1"/>
      <w:numFmt w:val="bullet"/>
      <w:lvlText w:val=""/>
      <w:lvlJc w:val="left"/>
      <w:pPr>
        <w:ind w:left="1068" w:hanging="708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B8320C"/>
    <w:multiLevelType w:val="hybridMultilevel"/>
    <w:tmpl w:val="4DE4A9C6"/>
    <w:lvl w:ilvl="0" w:tplc="06765010">
      <w:numFmt w:val="bullet"/>
      <w:lvlText w:val="•"/>
      <w:lvlJc w:val="left"/>
      <w:pPr>
        <w:ind w:left="142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6C527AD"/>
    <w:multiLevelType w:val="hybridMultilevel"/>
    <w:tmpl w:val="C7CC9022"/>
    <w:lvl w:ilvl="0" w:tplc="06765010">
      <w:numFmt w:val="bullet"/>
      <w:lvlText w:val="•"/>
      <w:lvlJc w:val="left"/>
      <w:pPr>
        <w:ind w:left="106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DD4ABD"/>
    <w:multiLevelType w:val="hybridMultilevel"/>
    <w:tmpl w:val="02D4E3BE"/>
    <w:lvl w:ilvl="0" w:tplc="06765010">
      <w:numFmt w:val="bullet"/>
      <w:lvlText w:val="•"/>
      <w:lvlJc w:val="left"/>
      <w:pPr>
        <w:ind w:left="106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5E1AFA"/>
    <w:multiLevelType w:val="hybridMultilevel"/>
    <w:tmpl w:val="2C9E160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325FB"/>
    <w:multiLevelType w:val="hybridMultilevel"/>
    <w:tmpl w:val="A7A62670"/>
    <w:lvl w:ilvl="0" w:tplc="DF1E056C">
      <w:start w:val="8088"/>
      <w:numFmt w:val="bullet"/>
      <w:lvlText w:val=""/>
      <w:lvlJc w:val="left"/>
      <w:pPr>
        <w:ind w:left="1440" w:hanging="360"/>
      </w:pPr>
      <w:rPr>
        <w:rFonts w:ascii="Wingdings" w:eastAsia="Arial" w:hAnsi="Wingdings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E8D309C"/>
    <w:multiLevelType w:val="hybridMultilevel"/>
    <w:tmpl w:val="0DB2CB3A"/>
    <w:lvl w:ilvl="0" w:tplc="06765010">
      <w:numFmt w:val="bullet"/>
      <w:lvlText w:val="•"/>
      <w:lvlJc w:val="left"/>
      <w:pPr>
        <w:ind w:left="106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127509"/>
    <w:multiLevelType w:val="hybridMultilevel"/>
    <w:tmpl w:val="700E5AFA"/>
    <w:lvl w:ilvl="0" w:tplc="06765010">
      <w:numFmt w:val="bullet"/>
      <w:lvlText w:val="•"/>
      <w:lvlJc w:val="left"/>
      <w:pPr>
        <w:ind w:left="106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FA1B52"/>
    <w:multiLevelType w:val="hybridMultilevel"/>
    <w:tmpl w:val="7CCE7B4A"/>
    <w:lvl w:ilvl="0" w:tplc="DF1E056C">
      <w:start w:val="8088"/>
      <w:numFmt w:val="bullet"/>
      <w:lvlText w:val=""/>
      <w:lvlJc w:val="left"/>
      <w:pPr>
        <w:ind w:left="720" w:hanging="360"/>
      </w:pPr>
      <w:rPr>
        <w:rFonts w:ascii="Wingdings" w:eastAsia="Arial" w:hAnsi="Wingdings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617249"/>
    <w:multiLevelType w:val="hybridMultilevel"/>
    <w:tmpl w:val="6BC6E976"/>
    <w:lvl w:ilvl="0" w:tplc="06765010">
      <w:numFmt w:val="bullet"/>
      <w:lvlText w:val="•"/>
      <w:lvlJc w:val="left"/>
      <w:pPr>
        <w:ind w:left="106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1E2D12"/>
    <w:multiLevelType w:val="hybridMultilevel"/>
    <w:tmpl w:val="8D56C2F2"/>
    <w:lvl w:ilvl="0" w:tplc="06765010">
      <w:numFmt w:val="bullet"/>
      <w:lvlText w:val="•"/>
      <w:lvlJc w:val="left"/>
      <w:pPr>
        <w:ind w:left="106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4D2574"/>
    <w:multiLevelType w:val="hybridMultilevel"/>
    <w:tmpl w:val="3A44A350"/>
    <w:lvl w:ilvl="0" w:tplc="06765010">
      <w:numFmt w:val="bullet"/>
      <w:lvlText w:val="•"/>
      <w:lvlJc w:val="left"/>
      <w:pPr>
        <w:ind w:left="106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204EC0"/>
    <w:multiLevelType w:val="hybridMultilevel"/>
    <w:tmpl w:val="E356F606"/>
    <w:lvl w:ilvl="0" w:tplc="06765010">
      <w:numFmt w:val="bullet"/>
      <w:lvlText w:val="•"/>
      <w:lvlJc w:val="left"/>
      <w:pPr>
        <w:ind w:left="106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8A2687"/>
    <w:multiLevelType w:val="hybridMultilevel"/>
    <w:tmpl w:val="9370C306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3B240DF8"/>
    <w:multiLevelType w:val="hybridMultilevel"/>
    <w:tmpl w:val="9C60BAF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2B2658"/>
    <w:multiLevelType w:val="hybridMultilevel"/>
    <w:tmpl w:val="7B866336"/>
    <w:lvl w:ilvl="0" w:tplc="2C0A000B">
      <w:start w:val="1"/>
      <w:numFmt w:val="bullet"/>
      <w:lvlText w:val=""/>
      <w:lvlJc w:val="left"/>
      <w:pPr>
        <w:ind w:left="1416" w:hanging="708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3F2D5D19"/>
    <w:multiLevelType w:val="hybridMultilevel"/>
    <w:tmpl w:val="83A281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6E520F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3961D0F"/>
    <w:multiLevelType w:val="hybridMultilevel"/>
    <w:tmpl w:val="1CBE1A32"/>
    <w:lvl w:ilvl="0" w:tplc="06765010">
      <w:numFmt w:val="bullet"/>
      <w:lvlText w:val="•"/>
      <w:lvlJc w:val="left"/>
      <w:pPr>
        <w:ind w:left="106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E02893"/>
    <w:multiLevelType w:val="hybridMultilevel"/>
    <w:tmpl w:val="B5226E04"/>
    <w:lvl w:ilvl="0" w:tplc="06765010">
      <w:numFmt w:val="bullet"/>
      <w:lvlText w:val="•"/>
      <w:lvlJc w:val="left"/>
      <w:pPr>
        <w:ind w:left="106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401A73"/>
    <w:multiLevelType w:val="hybridMultilevel"/>
    <w:tmpl w:val="C352C6BE"/>
    <w:lvl w:ilvl="0" w:tplc="06765010">
      <w:numFmt w:val="bullet"/>
      <w:lvlText w:val="•"/>
      <w:lvlJc w:val="left"/>
      <w:pPr>
        <w:ind w:left="142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86C2466"/>
    <w:multiLevelType w:val="hybridMultilevel"/>
    <w:tmpl w:val="3462E92E"/>
    <w:lvl w:ilvl="0" w:tplc="06765010">
      <w:numFmt w:val="bullet"/>
      <w:lvlText w:val="•"/>
      <w:lvlJc w:val="left"/>
      <w:pPr>
        <w:ind w:left="106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940248"/>
    <w:multiLevelType w:val="hybridMultilevel"/>
    <w:tmpl w:val="714E2CF8"/>
    <w:lvl w:ilvl="0" w:tplc="06765010">
      <w:numFmt w:val="bullet"/>
      <w:lvlText w:val="•"/>
      <w:lvlJc w:val="left"/>
      <w:pPr>
        <w:ind w:left="106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B370F2"/>
    <w:multiLevelType w:val="hybridMultilevel"/>
    <w:tmpl w:val="84CE577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3853CA"/>
    <w:multiLevelType w:val="hybridMultilevel"/>
    <w:tmpl w:val="C4A0EB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1911D1"/>
    <w:multiLevelType w:val="hybridMultilevel"/>
    <w:tmpl w:val="6B8657E8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8434B9"/>
    <w:multiLevelType w:val="hybridMultilevel"/>
    <w:tmpl w:val="9392BE8A"/>
    <w:lvl w:ilvl="0" w:tplc="06765010">
      <w:numFmt w:val="bullet"/>
      <w:lvlText w:val="•"/>
      <w:lvlJc w:val="left"/>
      <w:pPr>
        <w:ind w:left="142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6E72A2F"/>
    <w:multiLevelType w:val="hybridMultilevel"/>
    <w:tmpl w:val="18C0CD58"/>
    <w:lvl w:ilvl="0" w:tplc="06765010">
      <w:numFmt w:val="bullet"/>
      <w:lvlText w:val="•"/>
      <w:lvlJc w:val="left"/>
      <w:pPr>
        <w:ind w:left="106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E543E7"/>
    <w:multiLevelType w:val="hybridMultilevel"/>
    <w:tmpl w:val="7CB224E0"/>
    <w:lvl w:ilvl="0" w:tplc="06765010">
      <w:numFmt w:val="bullet"/>
      <w:lvlText w:val="•"/>
      <w:lvlJc w:val="left"/>
      <w:pPr>
        <w:ind w:left="106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D427E7"/>
    <w:multiLevelType w:val="hybridMultilevel"/>
    <w:tmpl w:val="FA16C760"/>
    <w:lvl w:ilvl="0" w:tplc="06765010">
      <w:numFmt w:val="bullet"/>
      <w:lvlText w:val="•"/>
      <w:lvlJc w:val="left"/>
      <w:pPr>
        <w:ind w:left="106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031ECA"/>
    <w:multiLevelType w:val="hybridMultilevel"/>
    <w:tmpl w:val="CC14B364"/>
    <w:lvl w:ilvl="0" w:tplc="06765010">
      <w:numFmt w:val="bullet"/>
      <w:lvlText w:val="•"/>
      <w:lvlJc w:val="left"/>
      <w:pPr>
        <w:ind w:left="106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281592"/>
    <w:multiLevelType w:val="hybridMultilevel"/>
    <w:tmpl w:val="86CEFA56"/>
    <w:lvl w:ilvl="0" w:tplc="06765010">
      <w:numFmt w:val="bullet"/>
      <w:lvlText w:val="•"/>
      <w:lvlJc w:val="left"/>
      <w:pPr>
        <w:ind w:left="106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45140F"/>
    <w:multiLevelType w:val="hybridMultilevel"/>
    <w:tmpl w:val="46C43E5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E14A1F"/>
    <w:multiLevelType w:val="hybridMultilevel"/>
    <w:tmpl w:val="83ACC5F2"/>
    <w:lvl w:ilvl="0" w:tplc="06765010">
      <w:numFmt w:val="bullet"/>
      <w:lvlText w:val="•"/>
      <w:lvlJc w:val="left"/>
      <w:pPr>
        <w:ind w:left="106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2687B77"/>
    <w:multiLevelType w:val="hybridMultilevel"/>
    <w:tmpl w:val="B922CD64"/>
    <w:lvl w:ilvl="0" w:tplc="06765010">
      <w:numFmt w:val="bullet"/>
      <w:lvlText w:val="•"/>
      <w:lvlJc w:val="left"/>
      <w:pPr>
        <w:ind w:left="106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3A7D9D"/>
    <w:multiLevelType w:val="hybridMultilevel"/>
    <w:tmpl w:val="7A80241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53E3C8C"/>
    <w:multiLevelType w:val="hybridMultilevel"/>
    <w:tmpl w:val="0F884E56"/>
    <w:lvl w:ilvl="0" w:tplc="06765010">
      <w:numFmt w:val="bullet"/>
      <w:lvlText w:val="•"/>
      <w:lvlJc w:val="left"/>
      <w:pPr>
        <w:ind w:left="106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4117F3"/>
    <w:multiLevelType w:val="hybridMultilevel"/>
    <w:tmpl w:val="105E6388"/>
    <w:lvl w:ilvl="0" w:tplc="06765010">
      <w:numFmt w:val="bullet"/>
      <w:lvlText w:val="•"/>
      <w:lvlJc w:val="left"/>
      <w:pPr>
        <w:ind w:left="106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AD7FF0"/>
    <w:multiLevelType w:val="hybridMultilevel"/>
    <w:tmpl w:val="CEE02812"/>
    <w:lvl w:ilvl="0" w:tplc="06765010">
      <w:numFmt w:val="bullet"/>
      <w:lvlText w:val="•"/>
      <w:lvlJc w:val="left"/>
      <w:pPr>
        <w:ind w:left="1068" w:hanging="708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BF6584"/>
    <w:multiLevelType w:val="hybridMultilevel"/>
    <w:tmpl w:val="A064CBB0"/>
    <w:lvl w:ilvl="0" w:tplc="06765010">
      <w:numFmt w:val="bullet"/>
      <w:lvlText w:val="•"/>
      <w:lvlJc w:val="left"/>
      <w:pPr>
        <w:ind w:left="1068" w:hanging="708"/>
      </w:pPr>
      <w:rPr>
        <w:rFonts w:ascii="Calibri" w:eastAsiaTheme="minorEastAsia" w:hAnsi="Calibri" w:cs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960035">
    <w:abstractNumId w:val="11"/>
  </w:num>
  <w:num w:numId="2" w16cid:durableId="150760677">
    <w:abstractNumId w:val="24"/>
  </w:num>
  <w:num w:numId="3" w16cid:durableId="3485790">
    <w:abstractNumId w:val="30"/>
  </w:num>
  <w:num w:numId="4" w16cid:durableId="298726547">
    <w:abstractNumId w:val="20"/>
  </w:num>
  <w:num w:numId="5" w16cid:durableId="308167953">
    <w:abstractNumId w:val="3"/>
  </w:num>
  <w:num w:numId="6" w16cid:durableId="746075283">
    <w:abstractNumId w:val="12"/>
  </w:num>
  <w:num w:numId="7" w16cid:durableId="475529469">
    <w:abstractNumId w:val="15"/>
  </w:num>
  <w:num w:numId="8" w16cid:durableId="433525669">
    <w:abstractNumId w:val="21"/>
  </w:num>
  <w:num w:numId="9" w16cid:durableId="1717508228">
    <w:abstractNumId w:val="23"/>
  </w:num>
  <w:num w:numId="10" w16cid:durableId="1108426048">
    <w:abstractNumId w:val="5"/>
  </w:num>
  <w:num w:numId="11" w16cid:durableId="1705713358">
    <w:abstractNumId w:val="4"/>
  </w:num>
  <w:num w:numId="12" w16cid:durableId="118494405">
    <w:abstractNumId w:val="1"/>
  </w:num>
  <w:num w:numId="13" w16cid:durableId="1575160778">
    <w:abstractNumId w:val="2"/>
  </w:num>
  <w:num w:numId="14" w16cid:durableId="1966349902">
    <w:abstractNumId w:val="29"/>
  </w:num>
  <w:num w:numId="15" w16cid:durableId="683433160">
    <w:abstractNumId w:val="19"/>
  </w:num>
  <w:num w:numId="16" w16cid:durableId="1555585932">
    <w:abstractNumId w:val="37"/>
  </w:num>
  <w:num w:numId="17" w16cid:durableId="981806588">
    <w:abstractNumId w:val="38"/>
  </w:num>
  <w:num w:numId="18" w16cid:durableId="531185462">
    <w:abstractNumId w:val="27"/>
  </w:num>
  <w:num w:numId="19" w16cid:durableId="1167482107">
    <w:abstractNumId w:val="26"/>
  </w:num>
  <w:num w:numId="20" w16cid:durableId="1067535758">
    <w:abstractNumId w:val="8"/>
  </w:num>
  <w:num w:numId="21" w16cid:durableId="783312213">
    <w:abstractNumId w:val="17"/>
  </w:num>
  <w:num w:numId="22" w16cid:durableId="1781955151">
    <w:abstractNumId w:val="46"/>
  </w:num>
  <w:num w:numId="23" w16cid:durableId="511336604">
    <w:abstractNumId w:val="10"/>
  </w:num>
  <w:num w:numId="24" w16cid:durableId="855342429">
    <w:abstractNumId w:val="22"/>
  </w:num>
  <w:num w:numId="25" w16cid:durableId="2055737330">
    <w:abstractNumId w:val="42"/>
  </w:num>
  <w:num w:numId="26" w16cid:durableId="1503349703">
    <w:abstractNumId w:val="39"/>
  </w:num>
  <w:num w:numId="27" w16cid:durableId="1425106782">
    <w:abstractNumId w:val="31"/>
  </w:num>
  <w:num w:numId="28" w16cid:durableId="4554385">
    <w:abstractNumId w:val="36"/>
  </w:num>
  <w:num w:numId="29" w16cid:durableId="1504082283">
    <w:abstractNumId w:val="35"/>
  </w:num>
  <w:num w:numId="30" w16cid:durableId="1623457801">
    <w:abstractNumId w:val="9"/>
  </w:num>
  <w:num w:numId="31" w16cid:durableId="1061755093">
    <w:abstractNumId w:val="44"/>
  </w:num>
  <w:num w:numId="32" w16cid:durableId="1468234008">
    <w:abstractNumId w:val="0"/>
  </w:num>
  <w:num w:numId="33" w16cid:durableId="531384024">
    <w:abstractNumId w:val="14"/>
  </w:num>
  <w:num w:numId="34" w16cid:durableId="988899909">
    <w:abstractNumId w:val="16"/>
  </w:num>
  <w:num w:numId="35" w16cid:durableId="525678897">
    <w:abstractNumId w:val="34"/>
  </w:num>
  <w:num w:numId="36" w16cid:durableId="1315139790">
    <w:abstractNumId w:val="40"/>
  </w:num>
  <w:num w:numId="37" w16cid:durableId="1897473858">
    <w:abstractNumId w:val="28"/>
  </w:num>
  <w:num w:numId="38" w16cid:durableId="1583560349">
    <w:abstractNumId w:val="43"/>
  </w:num>
  <w:num w:numId="39" w16cid:durableId="1135634926">
    <w:abstractNumId w:val="7"/>
  </w:num>
  <w:num w:numId="40" w16cid:durableId="782772988">
    <w:abstractNumId w:val="32"/>
  </w:num>
  <w:num w:numId="41" w16cid:durableId="1506506574">
    <w:abstractNumId w:val="18"/>
  </w:num>
  <w:num w:numId="42" w16cid:durableId="375398833">
    <w:abstractNumId w:val="25"/>
  </w:num>
  <w:num w:numId="43" w16cid:durableId="1454403477">
    <w:abstractNumId w:val="45"/>
  </w:num>
  <w:num w:numId="44" w16cid:durableId="82924261">
    <w:abstractNumId w:val="33"/>
  </w:num>
  <w:num w:numId="45" w16cid:durableId="147794269">
    <w:abstractNumId w:val="13"/>
  </w:num>
  <w:num w:numId="46" w16cid:durableId="1172989365">
    <w:abstractNumId w:val="6"/>
  </w:num>
  <w:num w:numId="47" w16cid:durableId="1619602910">
    <w:abstractNumId w:val="4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eso">
    <w15:presenceInfo w15:providerId="None" w15:userId="Kes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FB4"/>
    <w:rsid w:val="000170E0"/>
    <w:rsid w:val="00020C2A"/>
    <w:rsid w:val="00080A10"/>
    <w:rsid w:val="000A5A57"/>
    <w:rsid w:val="000C6CEA"/>
    <w:rsid w:val="000E1D83"/>
    <w:rsid w:val="00122A5B"/>
    <w:rsid w:val="0012456E"/>
    <w:rsid w:val="00136F42"/>
    <w:rsid w:val="00144F7F"/>
    <w:rsid w:val="001E484B"/>
    <w:rsid w:val="00240674"/>
    <w:rsid w:val="0024654E"/>
    <w:rsid w:val="00297686"/>
    <w:rsid w:val="002D0804"/>
    <w:rsid w:val="00307E13"/>
    <w:rsid w:val="00307F93"/>
    <w:rsid w:val="0032244A"/>
    <w:rsid w:val="0033782B"/>
    <w:rsid w:val="003454A4"/>
    <w:rsid w:val="0034633D"/>
    <w:rsid w:val="0035468E"/>
    <w:rsid w:val="003839AA"/>
    <w:rsid w:val="003B69EF"/>
    <w:rsid w:val="003D6E1D"/>
    <w:rsid w:val="003F1FE1"/>
    <w:rsid w:val="00403180"/>
    <w:rsid w:val="00411D24"/>
    <w:rsid w:val="0042731E"/>
    <w:rsid w:val="00427DDB"/>
    <w:rsid w:val="00446AF3"/>
    <w:rsid w:val="004551F6"/>
    <w:rsid w:val="004558FB"/>
    <w:rsid w:val="004653BB"/>
    <w:rsid w:val="00483B87"/>
    <w:rsid w:val="004873E8"/>
    <w:rsid w:val="004A0526"/>
    <w:rsid w:val="004A259F"/>
    <w:rsid w:val="004A2FAB"/>
    <w:rsid w:val="004B0E2D"/>
    <w:rsid w:val="004D0237"/>
    <w:rsid w:val="004D5ACD"/>
    <w:rsid w:val="004F05A3"/>
    <w:rsid w:val="005051C7"/>
    <w:rsid w:val="00517577"/>
    <w:rsid w:val="00533ECC"/>
    <w:rsid w:val="005409D6"/>
    <w:rsid w:val="00544D36"/>
    <w:rsid w:val="00560AF8"/>
    <w:rsid w:val="005622E1"/>
    <w:rsid w:val="00574407"/>
    <w:rsid w:val="005A2BD6"/>
    <w:rsid w:val="005B78AB"/>
    <w:rsid w:val="005C18CE"/>
    <w:rsid w:val="005E45B8"/>
    <w:rsid w:val="0060653F"/>
    <w:rsid w:val="006133BA"/>
    <w:rsid w:val="006340C3"/>
    <w:rsid w:val="0063642F"/>
    <w:rsid w:val="00653B62"/>
    <w:rsid w:val="0069126A"/>
    <w:rsid w:val="00697EEC"/>
    <w:rsid w:val="006E0B4A"/>
    <w:rsid w:val="006E7D16"/>
    <w:rsid w:val="006F21E1"/>
    <w:rsid w:val="006F3D63"/>
    <w:rsid w:val="006F41F2"/>
    <w:rsid w:val="00763667"/>
    <w:rsid w:val="00773A76"/>
    <w:rsid w:val="00786C94"/>
    <w:rsid w:val="0079447D"/>
    <w:rsid w:val="007A2116"/>
    <w:rsid w:val="007C5C02"/>
    <w:rsid w:val="007F2FB4"/>
    <w:rsid w:val="007F433E"/>
    <w:rsid w:val="00820C52"/>
    <w:rsid w:val="00830F9B"/>
    <w:rsid w:val="00846479"/>
    <w:rsid w:val="00855EBF"/>
    <w:rsid w:val="008753E7"/>
    <w:rsid w:val="008A21EF"/>
    <w:rsid w:val="008D0766"/>
    <w:rsid w:val="008E3219"/>
    <w:rsid w:val="008E4FBB"/>
    <w:rsid w:val="008E7D4C"/>
    <w:rsid w:val="009017FF"/>
    <w:rsid w:val="0090685D"/>
    <w:rsid w:val="0090763D"/>
    <w:rsid w:val="00933675"/>
    <w:rsid w:val="009344A3"/>
    <w:rsid w:val="009509DA"/>
    <w:rsid w:val="00995A25"/>
    <w:rsid w:val="009B0C5F"/>
    <w:rsid w:val="00A00A8A"/>
    <w:rsid w:val="00A04E03"/>
    <w:rsid w:val="00A136A7"/>
    <w:rsid w:val="00A1521A"/>
    <w:rsid w:val="00A419D7"/>
    <w:rsid w:val="00A63489"/>
    <w:rsid w:val="00A64523"/>
    <w:rsid w:val="00A868A7"/>
    <w:rsid w:val="00AC7835"/>
    <w:rsid w:val="00AE16C2"/>
    <w:rsid w:val="00B06360"/>
    <w:rsid w:val="00B60447"/>
    <w:rsid w:val="00B60BC5"/>
    <w:rsid w:val="00B63583"/>
    <w:rsid w:val="00B80AC4"/>
    <w:rsid w:val="00B907BD"/>
    <w:rsid w:val="00BC28BD"/>
    <w:rsid w:val="00BE3CBE"/>
    <w:rsid w:val="00C02941"/>
    <w:rsid w:val="00C237FE"/>
    <w:rsid w:val="00C33D08"/>
    <w:rsid w:val="00C420E6"/>
    <w:rsid w:val="00C53FEA"/>
    <w:rsid w:val="00C56772"/>
    <w:rsid w:val="00C57259"/>
    <w:rsid w:val="00C57E09"/>
    <w:rsid w:val="00C838E9"/>
    <w:rsid w:val="00C85790"/>
    <w:rsid w:val="00C97C35"/>
    <w:rsid w:val="00CB4378"/>
    <w:rsid w:val="00CB50AE"/>
    <w:rsid w:val="00CE3868"/>
    <w:rsid w:val="00D04163"/>
    <w:rsid w:val="00D57042"/>
    <w:rsid w:val="00D76EAF"/>
    <w:rsid w:val="00D849DC"/>
    <w:rsid w:val="00DE41C8"/>
    <w:rsid w:val="00E002EB"/>
    <w:rsid w:val="00E10D7F"/>
    <w:rsid w:val="00E13CAA"/>
    <w:rsid w:val="00E26BB7"/>
    <w:rsid w:val="00E370F4"/>
    <w:rsid w:val="00E50782"/>
    <w:rsid w:val="00E6393B"/>
    <w:rsid w:val="00E82ABB"/>
    <w:rsid w:val="00E832DB"/>
    <w:rsid w:val="00E86750"/>
    <w:rsid w:val="00EE7062"/>
    <w:rsid w:val="00EF0868"/>
    <w:rsid w:val="00F00D02"/>
    <w:rsid w:val="00F20316"/>
    <w:rsid w:val="00F4124F"/>
    <w:rsid w:val="00F8311B"/>
    <w:rsid w:val="00F93D28"/>
    <w:rsid w:val="00FA4D7F"/>
    <w:rsid w:val="00FB0D91"/>
    <w:rsid w:val="00FC0B05"/>
    <w:rsid w:val="00FE5A98"/>
    <w:rsid w:val="00FE6557"/>
    <w:rsid w:val="00FF0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C7FBB"/>
  <w15:chartTrackingRefBased/>
  <w15:docId w15:val="{A328E8B5-CAC1-4E2C-8BA5-7B6ED48E1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AR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7F2F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F2F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2F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44F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2FB4"/>
    <w:rPr>
      <w:rFonts w:asciiTheme="majorHAnsi" w:eastAsiaTheme="majorEastAsia" w:hAnsiTheme="majorHAnsi" w:cstheme="majorBidi"/>
      <w:sz w:val="3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7F2FB4"/>
    <w:rPr>
      <w:rFonts w:asciiTheme="majorHAnsi" w:eastAsiaTheme="majorEastAsia" w:hAnsiTheme="majorHAnsi" w:cstheme="majorBidi"/>
      <w:sz w:val="26"/>
      <w:szCs w:val="26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7F2FB4"/>
    <w:rPr>
      <w:rFonts w:asciiTheme="majorHAnsi" w:eastAsiaTheme="majorEastAsia" w:hAnsiTheme="majorHAnsi" w:cstheme="majorBidi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7F2F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2FB4"/>
  </w:style>
  <w:style w:type="paragraph" w:styleId="Piedepgina">
    <w:name w:val="footer"/>
    <w:basedOn w:val="Normal"/>
    <w:link w:val="PiedepginaCar"/>
    <w:uiPriority w:val="99"/>
    <w:unhideWhenUsed/>
    <w:rsid w:val="007F2F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2FB4"/>
  </w:style>
  <w:style w:type="paragraph" w:styleId="TtuloTDC">
    <w:name w:val="TOC Heading"/>
    <w:basedOn w:val="Ttulo1"/>
    <w:next w:val="Normal"/>
    <w:uiPriority w:val="39"/>
    <w:unhideWhenUsed/>
    <w:qFormat/>
    <w:rsid w:val="007F2FB4"/>
    <w:pPr>
      <w:outlineLvl w:val="9"/>
    </w:pPr>
    <w:rPr>
      <w:color w:val="2F5496" w:themeColor="accent1" w:themeShade="BF"/>
      <w:kern w:val="0"/>
      <w:u w:val="non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F2FB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F2FB4"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rsid w:val="00FE655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11D24"/>
    <w:pPr>
      <w:ind w:left="720"/>
      <w:contextualSpacing/>
    </w:pPr>
    <w:rPr>
      <w:rFonts w:ascii="Arial" w:hAnsi="Arial"/>
      <w:sz w:val="20"/>
    </w:rPr>
  </w:style>
  <w:style w:type="paragraph" w:styleId="TDC2">
    <w:name w:val="toc 2"/>
    <w:basedOn w:val="Normal"/>
    <w:next w:val="Normal"/>
    <w:autoRedefine/>
    <w:uiPriority w:val="39"/>
    <w:unhideWhenUsed/>
    <w:rsid w:val="00EF086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B4378"/>
    <w:pPr>
      <w:spacing w:after="100"/>
      <w:ind w:left="440"/>
    </w:pPr>
  </w:style>
  <w:style w:type="character" w:customStyle="1" w:styleId="Ttulo4Car">
    <w:name w:val="Título 4 Car"/>
    <w:basedOn w:val="Fuentedeprrafopredeter"/>
    <w:link w:val="Ttulo4"/>
    <w:uiPriority w:val="9"/>
    <w:rsid w:val="00144F7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Revisin">
    <w:name w:val="Revision"/>
    <w:hidden/>
    <w:uiPriority w:val="99"/>
    <w:semiHidden/>
    <w:rsid w:val="00C02941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240674"/>
    <w:rPr>
      <w:color w:val="605E5C"/>
      <w:shd w:val="clear" w:color="auto" w:fill="E1DFDD"/>
    </w:rPr>
  </w:style>
  <w:style w:type="paragraph" w:styleId="Listaconvietas">
    <w:name w:val="List Bullet"/>
    <w:basedOn w:val="Normal"/>
    <w:uiPriority w:val="99"/>
    <w:unhideWhenUsed/>
    <w:rsid w:val="004653BB"/>
    <w:pPr>
      <w:numPr>
        <w:numId w:val="3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="Calibri" w:hAnsi="Arial"/>
      <w:kern w:val="0"/>
      <w:sz w:val="2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9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docs.opencti.io/latest/deployment/overview/" TargetMode="External"/><Relationship Id="rId26" Type="http://schemas.openxmlformats.org/officeDocument/2006/relationships/hyperlink" Target="https://github.com/MISP/misp-book/tree/main/user-stories" TargetMode="Externa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ocs.opencti.io/latest/administration/enterprise/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s://github.com/MISP/misp-book/tree/main/user-personas" TargetMode="External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misp-project.org/2026/02/11/misp-architecture-choices.html/" TargetMode="External"/><Relationship Id="rId20" Type="http://schemas.openxmlformats.org/officeDocument/2006/relationships/hyperlink" Target="https://github.com/MISP/misp-docker.git" TargetMode="External"/><Relationship Id="rId29" Type="http://schemas.openxmlformats.org/officeDocument/2006/relationships/hyperlink" Target="https://github.com/MISP/misp-docke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opencti.io/latest/usage/getting-started/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hyperlink" Target="https://docs.opencti.io/latest/deployment/overview/" TargetMode="External"/><Relationship Id="rId23" Type="http://schemas.openxmlformats.org/officeDocument/2006/relationships/image" Target="media/image7.png"/><Relationship Id="rId28" Type="http://schemas.openxmlformats.org/officeDocument/2006/relationships/hyperlink" Target="https://docs.opencti.io/latest/deployment/troubleshooting/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misp-project.org/documentation/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circl.lu/doc/misp/requirements/" TargetMode="External"/><Relationship Id="rId22" Type="http://schemas.openxmlformats.org/officeDocument/2006/relationships/hyperlink" Target="https://github.com/OpenCTI-Platform/docker" TargetMode="External"/><Relationship Id="rId27" Type="http://schemas.openxmlformats.org/officeDocument/2006/relationships/hyperlink" Target="https://docs.opencti.io/latest/deployment/installation/" TargetMode="External"/><Relationship Id="rId30" Type="http://schemas.openxmlformats.org/officeDocument/2006/relationships/hyperlink" Target="https://github.com/MISP/misp-docker" TargetMode="External"/><Relationship Id="rId35" Type="http://schemas.microsoft.com/office/2011/relationships/people" Target="people.xml"/><Relationship Id="rId8" Type="http://schemas.openxmlformats.org/officeDocument/2006/relationships/image" Target="media/image1.png"/><Relationship Id="rId3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E4AEC-B339-47E0-A2E6-6F795536B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12254</TotalTime>
  <Pages>33</Pages>
  <Words>10200</Words>
  <Characters>56101</Characters>
  <Application>Microsoft Office Word</Application>
  <DocSecurity>0</DocSecurity>
  <Lines>467</Lines>
  <Paragraphs>132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SOC@icbc.com.ar</dc:creator>
  <cp:keywords/>
  <dc:description/>
  <cp:lastModifiedBy>Keso</cp:lastModifiedBy>
  <cp:revision>36</cp:revision>
  <dcterms:created xsi:type="dcterms:W3CDTF">2026-04-16T18:08:00Z</dcterms:created>
  <dcterms:modified xsi:type="dcterms:W3CDTF">2026-05-27T17:59:00Z</dcterms:modified>
</cp:coreProperties>
</file>