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f2e"/>
          <w:sz w:val="36"/>
          <w:szCs w:val="36"/>
          <w:rtl w:val="0"/>
        </w:rPr>
        <w:t xml:space="preserve">Unit 2 Review Sheet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936c" w:space="0" w:sz="4" w:val="single"/>
              <w:left w:color="2d936c" w:space="0" w:sz="12" w:val="single"/>
              <w:bottom w:color="2d936c" w:space="0" w:sz="4" w:val="single"/>
              <w:right w:color="2d936c" w:space="0" w:sz="4" w:val="single"/>
            </w:tcBorders>
            <w:shd w:fill="e3f5ed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f2e"/>
                <w:sz w:val="28"/>
                <w:szCs w:val="28"/>
                <w:rtl w:val="0"/>
              </w:rPr>
              <w:t xml:space="preserve">Why does roti prata taste different after it hits the tawa?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General Chemistry · Semester 1 · Singapore American School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Note: Chemistry is cumulative. Unit 2 assessments may draw on Unit 1 content. If you need a Unit 1 review, refer to the Unit 1 Review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NGSS Performance Expectations — Unit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HS-PS1-2  Construct and revise an explanation for the outcome of a simple chemical reaction based on the outermost electron states of atoms, trends in the periodic table, and knowledge of the patterns of chemical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HS-PS1-7  Use mathematical representations to support the claim that atoms, and therefore mass, are conserved during a chemical reaction. Includes mole concept, molar ratios, and stoichiometric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HS-PS2-6  Communicate scientific and technical information about why the molecular-level structure is important in the design of materials. Applied here to food design: why structural choices (saturated vs. unsaturated fat, polar vs. nonpolar) determine textural and chemical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HS-PS1-3 (via PA1 only)  Plan and conduct an investigation to gather evidence to compare the structure of substances at the bulk scale to infer the strength of electrical forces between particles.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Unit Self-Assessment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Rate your confidence for each understanding. Be honest — this helps you direct your study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98"/>
        <w:gridCol w:w="1256"/>
        <w:gridCol w:w="1256"/>
        <w:gridCol w:w="1256"/>
        <w:tblGridChange w:id="0">
          <w:tblGrid>
            <w:gridCol w:w="6698"/>
            <w:gridCol w:w="1256"/>
            <w:gridCol w:w="1256"/>
            <w:gridCol w:w="1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Major Unit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Kind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f2e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 Got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PS1-2.1 · I can distinguish between physical changes and chemical changes at the particle level, using specific evidence from observations.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PS1-2.2 · I can identify the type of chemical reaction (synthesis, decomposition, single replacement, double replacement, combustion, acid-base) from reactants and products.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PS1-2.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 · I can write and balance chemical equations for cooking-context reactions, and explain what the balanced equation tells us about atom conservation.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PS1-2.4 · I can draw a particle diagram showing the reactants and products of a chemical reaction, with atoms conserved on both sides.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PS1-7.1 ·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 can calculate the molar mass of any compound using the periodic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PS1-7.2 · I can convert between mass (grams) and moles using dimensional analysis, with all units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PS1-7.3 · I can set up and complete a BCA (Before–Change–After) table for a given reaction and starting amounts.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PS1-7.4 · I can identify the limiting reactant in a reaction and calculate the maximum amount of product that can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PS1-7.5 · I can explain, using CCC3 (scale and proportion), why recipe ratios and chemical mole ratios represent the same mathematical idea.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PS2-6.1 · I can explain how the molecular structure of a saturated fat (e.g. ghee) differs from an unsaturated fat (e.g. vegetable oil) at the particle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PS2-6.2 · I can connect molecular structure (chain shape, double bonds) to IMF type, physical state, and macroscopic properties (melting point, texture).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PS2-6.3 · I can construct a written argument explaining why a molecular design decision (ingredient substitution) will or will not preserve the chemical and textural outcome of a dish.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The 4-Layer Explanation — Are You Ready?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For the summative, you should be able to explain the prata phenomenon at all four levels: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Layer 1 — Observable: what changes can you detect with your senses?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Layer 2 — Reaction type: what chemical reactions are occurring? Write balanced equations.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Layer 3 — Stoichiometric: what quantities are involved? Use molar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Layer 4 — Molecular structure: why does structure cause those properties? (PS2-6 argument)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Practice writing a 4-layer explanation below: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Study Videos &amp; Texts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Videos: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K-Chem: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2.1: Properties &amp; Changes of Matter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8.1: Balancing Equations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8.2: Redox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8.3: Double Replacement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7.8: Formula Mass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7.11: Formula Stoichiometry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8.4: Equation Stoichiometry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K-Chem 8.4A: Advanced Equation Stoichiometry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Crash Course: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Creation of Chemistry — Fundamental Laws: CC Chemistry #3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Stoichiometry — Chemistry for Massive Creatures: CC Chemistry #6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Reactions &amp; Stoichiometry: CC Chemistry #10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CK-12 Texts: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Conservation of Mass in Chemical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Synthesis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Decomposition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Single Replacement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Double Replacement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Combustion Reactions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Mole Ratios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Law of Conservation of Mass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Mass-Mole Stoichiometry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Mass-Mass Stoichiometry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Limiting Reactant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Physical Properties and Intermolecular Forces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Simulations &amp; Additional Practice</w:t>
      </w: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Explore Learning Gizmos: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Chemical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Limiting Reactants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Balancing Chemical Equations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PhET Simulations: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Reactants, Products &amp; Leftovers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Balancing Chemical Equations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Molecule Polarity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Additional written practice: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Balancing Reactions Practice — from Unit 2 skill practice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Stoichiometry Problem Sampler — from Unit 2 skill practice folder (answer key at 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Formula Stoichiometry Practice — from Unit 2 skill practice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Review: Formulae &amp; Equations — comprehensive review of all stoichiometry sub-skills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2d936c" w:space="0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936c"/>
          <w:sz w:val="28"/>
          <w:szCs w:val="28"/>
          <w:rtl w:val="0"/>
        </w:rPr>
        <w:t xml:space="preserve">AI-Assisted Practice</w:t>
      </w: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b84b" w:space="0" w:sz="4" w:val="single"/>
              <w:left w:color="e8b84b" w:space="0" w:sz="12" w:val="single"/>
              <w:bottom w:color="e8b84b" w:space="0" w:sz="4" w:val="single"/>
              <w:right w:color="e8b84b" w:space="0" w:sz="4" w:val="single"/>
            </w:tcBorders>
            <w:shd w:fill="fff8e7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You can use AI to make studying better — IF you use it wisely.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See the Unit 2 LLM Practice Prompts document for guided prompts that help you use AI for conceptual exploration and problem practice — without just getting the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