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PRICE TRUTH</w:t>
      </w:r>
    </w:p>
    <w:p>
      <w:pPr>
        <w:pStyle w:val="Subtitle"/>
      </w:pPr>
      <w:r>
        <w:t>Speaking script and viva answers</w:t>
      </w:r>
    </w:p>
    <w:p>
      <w:pPr>
        <w:pStyle w:val="Small"/>
      </w:pPr>
      <w:r>
        <w:t>Group 11 • Prepared 24 September 2026</w:t>
      </w:r>
    </w:p>
    <w:p>
      <w:r>
        <w:t>Use with “Deliverable 4 - Code Review Report - Updated.pdf”: nine original pages followed by Appendix A1 and A2. Page references below refer to that report, not this guide. Speak the main script first; use the questions afterwards for practice. Allow roughly 10–12 minutes for the full script, plus questions.</w:t>
      </w:r>
    </w:p>
    <w:p>
      <w:pPr>
        <w:pStyle w:val="Heading1"/>
      </w:pPr>
      <w:r>
        <w:t>Part 1 — What to say</w:t>
      </w:r>
    </w:p>
    <w:p>
      <w:pPr>
        <w:pStyle w:val="Heading2"/>
      </w:pPr>
      <w:r>
        <w:t>Report page 1 | Opening and aim</w:t>
      </w:r>
    </w:p>
    <w:p>
      <w:r>
        <w:t>“Good morning, sir. We are presenting Price Truth, a real-data historical price-assessment application and its code review. Our broader aim is to help shoppers judge prices and compare value using evidence. For this submission, we focused on a working local flow: data preparation, price estimation, SHAP explanations and unit-price comparison. We then reviewed the application using Ruff, PyTest, Mutmut and Radon.”</w:t>
      </w:r>
    </w:p>
    <w:p>
      <w:pPr>
        <w:pStyle w:val="Heading2"/>
      </w:pPr>
      <w:r>
        <w:t>Report page 2 | Scope and implementation</w:t>
      </w:r>
    </w:p>
    <w:p>
      <w:r>
        <w:t>“The project contains 19 reviewed Python files and 1,378 source lines. Thirteen files are application or supporting scripts, and six are test files. We separated data preparation, modeling, domain calculations and the interface. Both supplied datasets are real. After cleaning, we retained 21,267 listings: 1,347 from Amazon and 19,920 from Flipkart. Combining the sources gives us one training catalogue; it does not mean we matched identical products across the retailers.”</w:t>
      </w:r>
    </w:p>
    <w:p>
      <w:pPr>
        <w:pStyle w:val="Small"/>
      </w:pPr>
      <w:r>
        <w:t>Point to: repository structure and Size &amp; Scope table. Explain the responsibilities; do not read every filename.</w:t>
      </w:r>
    </w:p>
    <w:p>
      <w:pPr>
        <w:pStyle w:val="Heading2"/>
      </w:pPr>
      <w:r>
        <w:t>What we actually achieved</w:t>
      </w:r>
    </w:p>
    <w:p>
      <w:r>
        <w:t>“We implemented a local application that accepts a catalogue listing and a user quote, estimates a historical observed-price range and explains the prediction. It also compares unit prices across pack options. The selected workflow and its review are complete for this code snapshot. The full live shopping product remains future work.”</w:t>
      </w:r>
    </w:p>
    <w:p>
      <w:pPr>
        <w:pStyle w:val="Small"/>
      </w:pPr>
      <w:r>
        <w:t>Suggested handoff: one presenter covers scope and model choice, one covers review tools, and one covers model results, NFRs and conclusion. Allocate names yourselves; do not claim an individual contribution you did not make.</w:t>
      </w:r>
    </w:p>
    <w:p>
      <w:pPr>
        <w:pStyle w:val="Heading1"/>
        <w:pageBreakBefore/>
      </w:pPr>
      <w:r>
        <w:t>Script — frameworks and test evidence</w:t>
      </w:r>
    </w:p>
    <w:p>
      <w:pPr>
        <w:pStyle w:val="Heading2"/>
      </w:pPr>
      <w:r>
        <w:t>Report page 3 | Why these frameworks?</w:t>
      </w:r>
    </w:p>
    <w:p>
      <w:r>
        <w:t>“Pandas and NumPy support data preparation and numerical processing. Scikit-learn provides preprocessing, candidate models and evaluation. SHAP explains the fitted tree model, while Streamlit provides the Python interface and Plotly displays charts. We chose these tools for the implemented workflow. The report records the versions actually used.”</w:t>
      </w:r>
    </w:p>
    <w:p>
      <w:pPr>
        <w:pStyle w:val="Heading2"/>
      </w:pPr>
      <w:r>
        <w:t>Report page 3 | Why this model?</w:t>
      </w:r>
    </w:p>
    <w:p>
      <w:r>
        <w:t>“We compared histogram gradient boosting, random forest and a baseline. Histogram gradient boosting had the lowest validation log MAE: 0.261744, compared with 0.265184 for random forest and 0.279389 for the baseline. We selected it using that criterion before examining final test performance. It was not best on every metric, so we report the other metrics too.”</w:t>
      </w:r>
    </w:p>
    <w:p>
      <w:pPr>
        <w:pStyle w:val="Small"/>
      </w:pPr>
      <w:r>
        <w:t>Point to: model-choice table. Keep validation results distinct from held-out test results.</w:t>
      </w:r>
    </w:p>
    <w:p>
      <w:pPr>
        <w:pStyle w:val="Heading2"/>
      </w:pPr>
      <w:r>
        <w:t>Report page 4 | Ruff</w:t>
      </w:r>
    </w:p>
    <w:p>
      <w:r>
        <w:t>“Ruff checks configured coding rules such as import issues, selected syntax errors and common bug patterns. It found zero violations under our enabled rules. This is a clean configured lint result; it does not prove the program has no bugs or security issues.”</w:t>
      </w:r>
    </w:p>
    <w:p>
      <w:pPr>
        <w:pStyle w:val="Heading2"/>
      </w:pPr>
      <w:r>
        <w:t>Report page 4 | PyTest and coverage</w:t>
      </w:r>
    </w:p>
    <w:p>
      <w:r>
        <w:t>“We executed 98 tests with no failures, errors or skipped cases. The tests cover calculations, cleaning, model behavior, services and application flows. Statement coverage was 462 out of 526 statements, or 87.83%. Branch coverage was 74 out of 98 branches, or 75.51%. These coverage figures apply to the price_truth package. The app is also exercised through AppTest, but app.py and scripts are outside that coverage denominator.”</w:t>
      </w:r>
    </w:p>
    <w:p>
      <w:pPr>
        <w:pStyle w:val="Small"/>
      </w:pPr>
      <w:r>
        <w:t>Point to: test-file counts and coverage table.</w:t>
      </w:r>
    </w:p>
    <w:p>
      <w:pPr>
        <w:pStyle w:val="Small"/>
      </w:pPr>
      <w:r>
        <w:t>If asked about warnings: “Two warnings arose in the separate Flipkart-only modeling path because a feature was entirely missing. Tests still passed, and the warnings were disclosed.”</w:t>
      </w:r>
    </w:p>
    <w:p>
      <w:pPr>
        <w:pStyle w:val="Heading1"/>
        <w:pageBreakBefore/>
      </w:pPr>
      <w:r>
        <w:t>Script — mutation and Radon findings</w:t>
      </w:r>
    </w:p>
    <w:p>
      <w:pPr>
        <w:pStyle w:val="Heading2"/>
      </w:pPr>
      <w:r>
        <w:t>Report page 5 | Mutmut</w:t>
      </w:r>
    </w:p>
    <w:p>
      <w:r>
        <w:t>“Passing tests can still miss mistakes. Mutation testing deliberately changes code and checks whether the tests detect the change. In calculations, catalogue and history, 305 of 375 mutants were killed, giving 81.33%. Seventy survived. We kept every survivor in the denominator. These results apply to those three modules, not the model or the whole project.”</w:t>
      </w:r>
    </w:p>
    <w:p>
      <w:pPr>
        <w:pStyle w:val="Heading2"/>
      </w:pPr>
      <w:r>
        <w:t>Report page 5 | Concrete improvement already made</w:t>
      </w:r>
    </w:p>
    <w:p>
      <w:r>
        <w:t>“Mutation review exposed missing assertions around multipack ranking and history isolation. We strengthened tests to check pack counts and to prevent mixing incompatible product, store, currency, unit and date evidence. The recorded pack-count mutation is now killed. Some message changes and a default-unit case still survive, so further work remains. We do not claim a percentage improvement over an earlier mutation run because no verified before-and-after score is presented.”</w:t>
      </w:r>
    </w:p>
    <w:p>
      <w:pPr>
        <w:pStyle w:val="Small"/>
      </w:pPr>
      <w:r>
        <w:t>Point to: killed compare_packs mutant and surviving positive-message mutant.</w:t>
      </w:r>
    </w:p>
    <w:p>
      <w:pPr>
        <w:pStyle w:val="Heading2"/>
      </w:pPr>
      <w:r>
        <w:t>Report page 6 | Complexity and the E grade</w:t>
      </w:r>
    </w:p>
    <w:p>
      <w:r>
        <w:t>“Radon measures code structure. Across 47 production/script blocks, average cyclomatic complexity is 4.66. However, main in scripts/review.py has complexity 40, grade E. It combines tool execution, result processing and report assembly, including many table-building comprehensions. This is a real maintainability weakness. We plan to split those responsibilities and verify equivalent outputs; that refactoring has not yet been completed.”</w:t>
      </w:r>
    </w:p>
    <w:p>
      <w:pPr>
        <w:pStyle w:val="Heading2"/>
      </w:pPr>
      <w:r>
        <w:t>Report pages 6–7 | MI, raw and Halstead</w:t>
      </w:r>
    </w:p>
    <w:p>
      <w:r>
        <w:t>“MI is a maintainability index, not a percentage. All 13 production/script files receive Radon rank A, but its A threshold is only above 19. For example, review.py has MI 34.05 while its main function has CC 40. These are different measurements, so there is no contradiction. Raw metrics describe source size. Halstead describes operator and operand structure; its estimated bugs are formula estimates, not observed defects.”</w:t>
      </w:r>
    </w:p>
    <w:p>
      <w:pPr>
        <w:pStyle w:val="Small"/>
      </w:pPr>
      <w:r>
        <w:t>Point to: the separate CC, MI, raw and Halstead tables.</w:t>
      </w:r>
    </w:p>
    <w:p>
      <w:pPr>
        <w:pStyle w:val="Heading1"/>
        <w:pageBreakBefore/>
      </w:pPr>
      <w:r>
        <w:t>Script — outcomes, NFRs and next steps</w:t>
      </w:r>
    </w:p>
    <w:p>
      <w:pPr>
        <w:pStyle w:val="Heading2"/>
      </w:pPr>
      <w:r>
        <w:t>Report page 8 | Non-functional requirements</w:t>
      </w:r>
    </w:p>
    <w:p>
      <w:r>
        <w:t>“We compared requirements with actual evidence. First assessment including SHAP took 0.926 seconds, within the two-second target. The first page load took 3.044 seconds, narrowly missing three seconds; the repeat load took 1.029 seconds. We checked Chrome and two viewport sizes. We have not established 100-user concurrency, 99% uptime, public availability or user-study success rates. Those are explicitly unmeasured.”</w:t>
      </w:r>
    </w:p>
    <w:p>
      <w:pPr>
        <w:pStyle w:val="Heading2"/>
      </w:pPr>
      <w:r>
        <w:t>Report page 9 | What did the model achieve?</w:t>
      </w:r>
    </w:p>
    <w:p>
      <w:r>
        <w:t>“On 4,269 held-out listings, mean absolute price error was about 357 rupees, compared with about 373 rupees for the baseline. The exact values are 356.82 and 373.27, a 4.41% reduction in MAE. Median absolute percentage error was 20.16%. Our interval covered 89.76% of test observations, close to its 90% target. These are historical regression results, not fraud-detection accuracy or a guarantee for every product.”</w:t>
      </w:r>
    </w:p>
    <w:p>
      <w:pPr>
        <w:pStyle w:val="Heading2"/>
      </w:pPr>
      <w:r>
        <w:t>Report pages 10–11 | What the appendices add</w:t>
      </w:r>
    </w:p>
    <w:p>
      <w:r>
        <w:t>“The appendices consolidate the measured percentages and their meanings. Log MAE is 10.76% lower than baseline. Twenty-five percent browser test coverage means one of four named browsers was tested; it does not mean the product is only 25% compatible. Similarly, all files having MI grade A does not mean 100% maintainability. We retain the units and denominator for every claim.”</w:t>
      </w:r>
    </w:p>
    <w:p>
      <w:pPr>
        <w:pStyle w:val="Heading2"/>
      </w:pPr>
      <w:r>
        <w:t>Closing | Already improved and still to improve</w:t>
      </w:r>
    </w:p>
    <w:p>
      <w:r>
        <w:t>“We have strengthened multipack and history-isolation tests and made the report evidence and limitations explicit. Next, we would refactor the complex report function, investigate surviving mutants, cover meaningful untested branches and improve initial loading. We would then run concurrency and wider browser tests. The broader product needs fresh timestamped prices, reliable product matching, deployment and monitoring before live-price or forecasting claims. Our contribution is a working real-data prototype with a reproducible review, including honest improvement findings. Thank you.”</w:t>
      </w:r>
    </w:p>
    <w:p>
      <w:pPr>
        <w:pStyle w:val="Small"/>
      </w:pPr>
      <w:r>
        <w:t>Short live demo, if invited: open Discount Checker, select a real listing and show the estimate, interval and SHAP chart. Then demonstrate Unit Price Compare. Explain each output before changing pages. Do not present the prototype’s simulated marketing figures as measured results.</w:t>
      </w:r>
    </w:p>
    <w:p>
      <w:pPr>
        <w:pStyle w:val="Heading1"/>
        <w:pageBreakBefore/>
      </w:pPr>
      <w:r>
        <w:t>Part 2 — Viva: aim, data and model</w:t>
      </w:r>
    </w:p>
    <w:p>
      <w:pPr>
        <w:pStyle w:val="Heading2"/>
        <w:spacing w:before="160" w:after="80"/>
      </w:pPr>
      <w:r>
        <w:t>1. What problem does Price Truth solve?</w:t>
      </w:r>
    </w:p>
    <w:p>
      <w:r>
        <w:t>It supports price and pack-value assessment. The implemented scope estimates historical observed prices and compares unit prices. Real-time retail comparison and verified deceptive-discount detection are broader objectives, not completed claims.</w:t>
      </w:r>
    </w:p>
    <w:p>
      <w:pPr>
        <w:pStyle w:val="Heading2"/>
        <w:spacing w:before="160" w:after="80"/>
      </w:pPr>
      <w:r>
        <w:t>2. Why use both datasets? Did you match the same products?</w:t>
      </w:r>
    </w:p>
    <w:p>
      <w:r>
        <w:t>Both provide real listings and broaden the catalogue. We normalized their fields into a shared schema; this is not verified exact-product matching across retailers. We retained platform-specific evaluations because combining data does not improve every platform metric.</w:t>
      </w:r>
    </w:p>
    <w:p>
      <w:pPr>
        <w:pStyle w:val="Heading2"/>
        <w:spacing w:before="160" w:after="80"/>
      </w:pPr>
      <w:r>
        <w:t>3. Are the data synthetic or current?</w:t>
      </w:r>
    </w:p>
    <w:p>
      <w:r>
        <w:t>Training uses real supplied CSVs, not generated observations. Flipkart dates are 2015–2016 and Amazon collection dates are unknown. Therefore the model cannot establish today’s fair price. Test-only boundary fixtures do not enter model training.</w:t>
      </w:r>
    </w:p>
    <w:p>
      <w:pPr>
        <w:pStyle w:val="Heading2"/>
        <w:spacing w:before="160" w:after="80"/>
      </w:pPr>
      <w:r>
        <w:t>4. How did you reduce leakage?</w:t>
      </w:r>
    </w:p>
    <w:p>
      <w:r>
        <w:t>Related normalized titles were grouped before splitting. Preprocessing was fitted after the split. Selling price and derived advertised discount are excluded from predictors. Residual product-variant leakage remains possible, and listed price as a predictor can still bias estimates.</w:t>
      </w:r>
    </w:p>
    <w:p>
      <w:pPr>
        <w:pStyle w:val="Heading2"/>
        <w:spacing w:before="160" w:after="80"/>
      </w:pPr>
      <w:r>
        <w:t>5. What were the data partitions?</w:t>
      </w:r>
    </w:p>
    <w:p>
      <w:r>
        <w:t>Train: 10,777; validation: 2,708; calibration: 3,513; test: 4,269. Training fits the model, validation chooses the candidate, calibration sets intervals and the test partition measures held-out results.</w:t>
      </w:r>
    </w:p>
    <w:p>
      <w:pPr>
        <w:pStyle w:val="Heading2"/>
        <w:spacing w:before="160" w:after="80"/>
      </w:pPr>
      <w:r>
        <w:t>6. Why boosting instead of an ensemble of all models?</w:t>
      </w:r>
    </w:p>
    <w:p>
      <w:r>
        <w:t>Boosting had the lowest validation log MAE under our chosen selection rule. We did not demonstrate that adding a further ensemble improved results. Additional complexity would need experimental justification.</w:t>
      </w:r>
    </w:p>
    <w:p>
      <w:pPr>
        <w:pStyle w:val="Heading2"/>
        <w:spacing w:before="160" w:after="80"/>
      </w:pPr>
      <w:r>
        <w:t>7. Does R² 0.957552 mean 95.76% accuracy?</w:t>
      </w:r>
    </w:p>
    <w:p>
      <w:r>
        <w:t>No. R² is a regression goodness-of-fit measure, not classification accuracy. Report MAE, median percentage error and interval coverage with it. The baseline R² is slightly higher at 0.958382, so we do not claim improvement on every metric.</w:t>
      </w:r>
    </w:p>
    <w:p>
      <w:pPr>
        <w:pStyle w:val="Heading1"/>
        <w:pageBreakBefore/>
      </w:pPr>
      <w:r>
        <w:t>Viva — interpreting predictions and tests</w:t>
      </w:r>
    </w:p>
    <w:p>
      <w:pPr>
        <w:pStyle w:val="Heading2"/>
        <w:spacing w:before="160" w:after="80"/>
      </w:pPr>
      <w:r>
        <w:t>8. What does MAE of INR 356.82 mean?</w:t>
      </w:r>
    </w:p>
    <w:p>
      <w:r>
        <w:t>The average absolute difference between predicted and observed selling prices on the test set was INR 356.82. It is not an error bound for every product. Relative MAE reduction is (373.270157 − 356.818328) / 373.270157 × 100 = 4.41%.</w:t>
      </w:r>
    </w:p>
    <w:p>
      <w:pPr>
        <w:pStyle w:val="Heading2"/>
        <w:spacing w:before="160" w:after="80"/>
      </w:pPr>
      <w:r>
        <w:t>9. Is 20.16% MAPE? Can you subtract it from 100 for accuracy?</w:t>
      </w:r>
    </w:p>
    <w:p>
      <w:r>
        <w:t>Our reported metric is median absolute percentage error, not mean MAPE. It summarizes the median relative error. Subtracting it from 100 does not create a valid classification or regression accuracy measure.</w:t>
      </w:r>
    </w:p>
    <w:p>
      <w:pPr>
        <w:pStyle w:val="Heading2"/>
        <w:spacing w:before="160" w:after="80"/>
      </w:pPr>
      <w:r>
        <w:t>10. What does the interval coverage tell us?</w:t>
      </w:r>
    </w:p>
    <w:p>
      <w:r>
        <w:t>The nominal target was 90%; 89.76% of held-out observations fell within the generated intervals. This is aggregate empirical coverage, not a 90% guarantee for an individual listing. Historical-to-current distribution changes can undermine coverage.</w:t>
      </w:r>
    </w:p>
    <w:p>
      <w:pPr>
        <w:pStyle w:val="Heading2"/>
        <w:spacing w:before="160" w:after="80"/>
      </w:pPr>
      <w:r>
        <w:t>11. Is SHAP real, and what does it prove?</w:t>
      </w:r>
    </w:p>
    <w:p>
      <w:r>
        <w:t>TreeExplainer runs on the fitted estimator. Tests check that the base value plus contributions reconstructs the log-scale prediction. SHAP explains the model’s computation; it does not establish causal effects or prove a discount genuine or fraudulent.</w:t>
      </w:r>
    </w:p>
    <w:p>
      <w:pPr>
        <w:pStyle w:val="Heading2"/>
        <w:spacing w:before="160" w:after="80"/>
      </w:pPr>
      <w:r>
        <w:t>12. How are Ruff, PyTest, Mutmut and Radon different?</w:t>
      </w:r>
    </w:p>
    <w:p>
      <w:r>
        <w:t>Ruff checks configured code rules. PyTest runs behavior assertions. Mutmut checks whether assertions detect deliberate code changes. Radon measures structural complexity and maintainability. Each provides different evidence; none alone proves correctness.</w:t>
      </w:r>
    </w:p>
    <w:p>
      <w:pPr>
        <w:pStyle w:val="Heading2"/>
        <w:spacing w:before="160" w:after="80"/>
      </w:pPr>
      <w:r>
        <w:t>13. If every test passed, why is coverage below 100%?</w:t>
      </w:r>
    </w:p>
    <w:p>
      <w:r>
        <w:t>A pass rate describes the tests we executed. Coverage describes code executed by those tests. All 98 tests can pass while some statements and branches remain unexecuted. Statement coverage is 87.83%; branch coverage is 75.51%.</w:t>
      </w:r>
    </w:p>
    <w:p>
      <w:pPr>
        <w:pStyle w:val="Heading2"/>
        <w:spacing w:before="160" w:after="80"/>
      </w:pPr>
      <w:r>
        <w:t>14. Do passing tests prove the full application is defect-free?</w:t>
      </w:r>
    </w:p>
    <w:p>
      <w:r>
        <w:t>No. They provide evidence for the tested behaviors and inputs. Scripts are not included in the package coverage measure, and AppTest coverage must not be confused with the package coverage denominator. Untested behaviors can still contain defects.</w:t>
      </w:r>
    </w:p>
    <w:p>
      <w:pPr>
        <w:pStyle w:val="Heading1"/>
        <w:pageBreakBefore/>
      </w:pPr>
      <w:r>
        <w:t>Viva — difficult code-review questions</w:t>
      </w:r>
    </w:p>
    <w:p>
      <w:pPr>
        <w:pStyle w:val="Heading2"/>
        <w:spacing w:before="160" w:after="80"/>
      </w:pPr>
      <w:r>
        <w:t>15. What is a killed or surviving mutant?</w:t>
      </w:r>
    </w:p>
    <w:p>
      <w:r>
        <w:t>A killed mutant is a deliberate code change that the test run detects. A survivor is not detected by the existing tests. A survivor may expose an assertion gap, an untested path or a behaviorally equivalent change; each needs inspection before classification.</w:t>
      </w:r>
    </w:p>
    <w:p>
      <w:pPr>
        <w:pStyle w:val="Heading2"/>
        <w:spacing w:before="160" w:after="80"/>
      </w:pPr>
      <w:r>
        <w:t>16. Why did 70 survive? Give a concrete example.</w:t>
      </w:r>
    </w:p>
    <w:p>
      <w:r>
        <w:t>One survivor changes the validation error message to None: tests check the exception type but not that exact message. Another changes the default history unit, while current tests and UI calls supply it explicitly. We have not established that all survivors are harmless.</w:t>
      </w:r>
    </w:p>
    <w:p>
      <w:pPr>
        <w:pStyle w:val="Heading2"/>
        <w:spacing w:before="160" w:after="80"/>
      </w:pPr>
      <w:r>
        <w:t>17. What improvement have you already completed?</w:t>
      </w:r>
    </w:p>
    <w:p>
      <w:r>
        <w:t>We added stronger assertions for multipack ranking and history isolation after mutation findings. The recorded mutant that omits pack count is killed. The current result is 305/375 killed. We have no verified before-and-after percentage to quote, and the remaining 70 are still disclosed.</w:t>
      </w:r>
    </w:p>
    <w:p>
      <w:pPr>
        <w:pStyle w:val="Heading2"/>
        <w:spacing w:before="160" w:after="80"/>
      </w:pPr>
      <w:r>
        <w:t>18. Why is scripts/review.py grade E? Is there a D?</w:t>
      </w:r>
    </w:p>
    <w:p>
      <w:r>
        <w:t>Its main function has CC 40. Radon bands are A: 1–5; B: 6–10; C: 11–20; D: 21–30; E: 31–40; F: 41+. No D-ranked blocks appear in the saved results. The report’s file grade reflects its worst measured block, not its mean complexity.</w:t>
      </w:r>
    </w:p>
    <w:p>
      <w:pPr>
        <w:pStyle w:val="Heading2"/>
        <w:spacing w:before="160" w:after="80"/>
      </w:pPr>
      <w:r>
        <w:t>19. What exactly contributes to that score of 40?</w:t>
      </w:r>
    </w:p>
    <w:p>
      <w:r>
        <w:t>The main function has a starting complexity of 1, two explicit loops, 30 comprehension generators, six comprehension filters and one Boolean decision: total 40. It is a review-automation function with too many combined responsibilities. This explains the result but does not excuse leaving it unrefactored.</w:t>
      </w:r>
    </w:p>
    <w:p>
      <w:pPr>
        <w:pStyle w:val="Heading2"/>
        <w:spacing w:before="160" w:after="80"/>
      </w:pPr>
      <w:r>
        <w:t>20. How would you improve it without gaming the metric?</w:t>
      </w:r>
    </w:p>
    <w:p>
      <w:r>
        <w:t>Separate coherent responsibilities: executing tools, loading evidence, calculating summaries and rendering report sections. Preserve outputs, add appropriate behavior checks and rerun metrics. Simply hiding the file from analysis or moving arbitrary lines would not demonstrate better design.</w:t>
      </w:r>
    </w:p>
    <w:p>
      <w:pPr>
        <w:pStyle w:val="Heading2"/>
        <w:spacing w:before="160" w:after="80"/>
      </w:pPr>
      <w:r>
        <w:t>21. Why can CC be E while MI is A?</w:t>
      </w:r>
    </w:p>
    <w:p>
      <w:r>
        <w:t>CC measures individual block complexity. MI combines file-level measurements using a different formula and thresholds. review.py has MI 34.05; Radon assigns A above 19. The E function remains a genuine complexity concern. MI is not a percentage or proof of perfect quality.</w:t>
      </w:r>
    </w:p>
    <w:p>
      <w:pPr>
        <w:pStyle w:val="Heading1"/>
        <w:pageBreakBefore/>
      </w:pPr>
      <w:r>
        <w:t>Viva — NFRs, evidence and final defence</w:t>
      </w:r>
    </w:p>
    <w:p>
      <w:pPr>
        <w:pStyle w:val="Heading2"/>
        <w:spacing w:before="160" w:after="80"/>
      </w:pPr>
      <w:r>
        <w:t>22. Have all NFRs been achieved?</w:t>
      </w:r>
    </w:p>
    <w:p>
      <w:r>
        <w:t>No. Some have local measurements, some only partial checks and others are unmeasured. The first page load missed its target; assessment latency met its recorded target. Concurrent capacity, sustained uptime, public availability and user-study outcomes remain unverified.</w:t>
      </w:r>
    </w:p>
    <w:p>
      <w:pPr>
        <w:pStyle w:val="Heading2"/>
        <w:spacing w:before="160" w:after="80"/>
      </w:pPr>
      <w:r>
        <w:t>23. Why not show a percentage for every NFR?</w:t>
      </w:r>
    </w:p>
    <w:p>
      <w:r>
        <w:t>A percentage needs a defined numerator, denominator and observation method. We can show one of four named browsers tested, or 25% test coverage. We cannot turn missing uptime or security evidence into a valid percentage. Not measured is neither 0% nor a pass.</w:t>
      </w:r>
    </w:p>
    <w:p>
      <w:pPr>
        <w:pStyle w:val="Heading2"/>
        <w:spacing w:before="160" w:after="80"/>
      </w:pPr>
      <w:r>
        <w:t>24. Do 29 calls prove support for 100 concurrent users?</w:t>
      </w:r>
    </w:p>
    <w:p>
      <w:r>
        <w:t>No. The 29 warm measurements were sequential. Their p95 was about 0.035 seconds, but concurrent requests can contend for resources. A separate load test is needed before claiming 100-user capacity.</w:t>
      </w:r>
    </w:p>
    <w:p>
      <w:pPr>
        <w:pStyle w:val="Heading2"/>
        <w:spacing w:before="160" w:after="80"/>
      </w:pPr>
      <w:r>
        <w:t>25. Did you test security and personal-data handling?</w:t>
      </w:r>
    </w:p>
    <w:p>
      <w:r>
        <w:t>Some defensive handling exists, including bounded API requests, safe links and CSV export handling. Raw supplied datasets retain reviewer fields; processed model features exclude them. The local app uses HTTP. We did not conduct a complete security audit or validate hosted HTTPS.</w:t>
      </w:r>
    </w:p>
    <w:p>
      <w:pPr>
        <w:pStyle w:val="Heading2"/>
        <w:spacing w:before="160" w:after="80"/>
      </w:pPr>
      <w:r>
        <w:t>26. Can you show that these results belong to this code?</w:t>
      </w:r>
    </w:p>
    <w:p>
      <w:r>
        <w:t>Yes. reports/review_manifest.json records source hashes, commands, versions and execution metadata. Raw tool outputs are saved alongside it. The 19 reviewed file hashes matched when the addendum was checked. Measurements are from the September 19 snapshot, not a newly claimed September 24 benchmark.</w:t>
      </w:r>
    </w:p>
    <w:p>
      <w:pPr>
        <w:pStyle w:val="Heading2"/>
        <w:spacing w:before="160" w:after="80"/>
      </w:pPr>
      <w:r>
        <w:t>27. Is the whole project complete, and what comes next?</w:t>
      </w:r>
    </w:p>
    <w:p>
      <w:r>
        <w:t>The historical assessment, unit comparison and recorded code review are ready for local demonstration. The larger product is incomplete. First address review findings; then broaden performance/browser testing. Fresh longitudinal data, exact-product matching and deployment evidence are prerequisites for stronger product claims.</w:t>
      </w:r>
    </w:p>
    <w:p>
      <w:pPr>
        <w:pStyle w:val="Heading2"/>
        <w:spacing w:before="160" w:after="80"/>
      </w:pPr>
      <w:r>
        <w:t>28. What is your main takeaway?</w:t>
      </w:r>
    </w:p>
    <w:p>
      <w:r>
        <w:t>We built a working real-data prototype and evaluated both predictions and code. The review produced evidence and actionable weaknesses. We can explain what works, what was improved and what remains, without treating targets or prototype visuals as achieved results.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Rehearsal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PRICE TRUTH | GROUP 11 | SPEAKING SCRIPT &amp; VIVA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B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b/>
      <w:bCs/>
      <w:color w:val="0F76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76" w:lineRule="auto"/>
    </w:pPr>
    <w:rPr>
      <w:rFonts w:asciiTheme="majorHAnsi" w:eastAsiaTheme="majorEastAsia" w:hAnsiTheme="majorHAnsi" w:cstheme="majorBidi" w:ascii="Calibri" w:hAnsi="Calibri"/>
      <w:i/>
      <w:iCs/>
      <w:color w:val="53627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val="0"/>
      <w:bCs/>
      <w:color w:val="53627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before="0" w:after="0" w:line="240" w:lineRule="auto"/>
    </w:pPr>
    <w:rPr>
      <w:rFonts w:ascii="Calibri" w:hAnsi="Calibri"/>
      <w:color w:val="202B38"/>
      <w:sz w:val="18"/>
    </w:rPr>
  </w:style>
  <w:style w:type="paragraph" w:customStyle="1" w:styleId="Code">
    <w:name w:val="Code"/>
    <w:pPr>
      <w:spacing w:before="0" w:after="0" w:line="240" w:lineRule="auto"/>
    </w:pPr>
    <w:rPr>
      <w:rFonts w:ascii="Consolas" w:hAnsi="Consolas"/>
      <w:color w:val="202B38"/>
      <w:sz w:val="16"/>
    </w:rPr>
  </w:style>
  <w:style w:type="paragraph" w:customStyle="1" w:styleId="Small">
    <w:name w:val="Small"/>
    <w:pPr>
      <w:spacing w:before="0" w:after="100" w:line="264" w:lineRule="auto"/>
    </w:pPr>
    <w:rPr>
      <w:rFonts w:ascii="Calibri" w:hAnsi="Calibri"/>
      <w:color w:val="53627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Price Truth — Speaking Script and Viva Answers</dc:title>
  <dc:subject>Page-by-page rehearsal guide for the updated 11-page code review report</dc:subject>
  <dc:creator>Group 11</dc:creator>
  <cp:keywords/>
  <dc:description>generated by python-docx</dc:description>
  <cp:lastModifiedBy/>
  <cp:revision>1</cp:revision>
  <dcterms:created xsi:type="dcterms:W3CDTF">2013-12-23T23:15:00Z</dcterms:created>
  <dcterms:modified xsi:type="dcterms:W3CDTF">2013-12-23T23:15:00Z</dcterms:modified>
  <cp:category/>
</cp:coreProperties>
</file>