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последнюю выполненную инструкцию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6_1759266464"/>
      <w:bookmarkStart w:id="5" w:name="__DdeLink__10_1759266464"/>
      <w:bookmarkStart w:id="6" w:name="__DdeLink__16_1759266464"/>
      <w:bookmarkStart w:id="7" w:name="__DdeLink__10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range(10):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self.assertEqual(fact(i), math.factorial(i))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30_1759266464"/>
      <w:bookmarkStart w:id="11" w:name="__DdeLink__28_1759266464"/>
      <w:bookmarkStart w:id="12" w:name="__DdeLink__26_1759266464"/>
      <w:bookmarkStart w:id="13" w:name="__DdeLink__30_1759266464"/>
      <w:bookmarkStart w:id="14" w:name="__DdeLink__28_1759266464"/>
      <w:bookmarkStart w:id="15" w:name="__DdeLink__26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f, i = 1,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tuple(fact(5))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true_arr = tuple(math.factorial(i) for i in range(5))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true_arr)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7</Pages>
  <Words>925</Words>
  <Characters>5530</Characters>
  <CharactersWithSpaces>7233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2018-04-25T12:34:19Z</dcterms:modified>
  <cp:revision>16</cp:revision>
  <dc:subject/>
  <dc:title/>
</cp:coreProperties>
</file>