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4D" w:rsidRDefault="0041564D" w:rsidP="0041564D">
      <w:pPr>
        <w:pStyle w:val="Heading1"/>
      </w:pPr>
      <w:r>
        <w:rPr>
          <w:rFonts w:hint="eastAsia"/>
        </w:rPr>
        <w:t>图像内插滤波器设计</w:t>
      </w:r>
    </w:p>
    <w:p w:rsidR="0041564D" w:rsidRDefault="0041564D" w:rsidP="0041564D">
      <w:r>
        <w:rPr>
          <w:rFonts w:hint="eastAsia"/>
        </w:rPr>
        <w:t>应用场景：两个相机要尽量处于同一水平面上，精度达到像素间距级别，这样设计出来的双目立体视觉定位效果是最好的。</w:t>
      </w:r>
    </w:p>
    <w:p w:rsidR="0041564D" w:rsidRDefault="0041564D" w:rsidP="0041564D">
      <w:r>
        <w:t xml:space="preserve">  </w:t>
      </w:r>
      <w:r>
        <w:object w:dxaOrig="8559" w:dyaOrig="2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9pt;height:144.7pt" o:ole="">
            <v:imagedata r:id="rId4" o:title=""/>
          </v:shape>
          <o:OLEObject Type="Embed" ProgID="Visio.Drawing.11" ShapeID="_x0000_i1025" DrawAspect="Content" ObjectID="_1621190451" r:id="rId5"/>
        </w:object>
      </w:r>
    </w:p>
    <w:p w:rsidR="0041564D" w:rsidRDefault="0041564D" w:rsidP="0041564D">
      <w:pPr>
        <w:ind w:firstLine="180"/>
      </w:pPr>
      <w:r>
        <w:rPr>
          <w:rFonts w:hint="eastAsia"/>
        </w:rPr>
        <w:t>项目中采用了</w:t>
      </w:r>
      <w:r>
        <w:rPr>
          <w:rFonts w:hint="eastAsia"/>
        </w:rPr>
        <w:t>37</w:t>
      </w:r>
      <w:r>
        <w:t>x2=74</w:t>
      </w:r>
      <w:r>
        <w:rPr>
          <w:rFonts w:hint="eastAsia"/>
        </w:rPr>
        <w:t>个缓存（考虑到低功耗采用了单口</w:t>
      </w:r>
      <w:r>
        <w:rPr>
          <w:rFonts w:hint="eastAsia"/>
        </w:rPr>
        <w:t>RAM</w:t>
      </w:r>
      <w:r>
        <w:rPr>
          <w:rFonts w:hint="eastAsia"/>
        </w:rPr>
        <w:t>，实现乒乓操作），所以所能支持的最大旋转角度计算方法为：</w:t>
      </w:r>
    </w:p>
    <w:p w:rsidR="0041564D" w:rsidRDefault="0041564D" w:rsidP="0041564D">
      <w:pPr>
        <w:ind w:firstLine="180"/>
      </w:pPr>
      <w:r>
        <w:t xml:space="preserve">               </w:t>
      </w:r>
      <m:oMath>
        <m:r>
          <m:rPr>
            <m:sty m:val="p"/>
          </m:rPr>
          <w:rPr>
            <w:rFonts w:ascii="Cambria Math" w:hAnsi="Cambria Math"/>
          </w:rPr>
          <m:t>α=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atan⁡(36/1919)×180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3.14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。</m:t>
            </m:r>
          </m:sup>
        </m:sSup>
      </m:oMath>
    </w:p>
    <w:p w:rsidR="0041564D" w:rsidRDefault="0041564D" w:rsidP="0041564D">
      <w:r>
        <w:t xml:space="preserve">        </w:t>
      </w:r>
      <w:r>
        <w:rPr>
          <w:rFonts w:hint="eastAsia"/>
        </w:rPr>
        <w:t>与通用</w:t>
      </w:r>
      <w:r>
        <w:t>GPU</w:t>
      </w:r>
      <w:r>
        <w:rPr>
          <w:rFonts w:hint="eastAsia"/>
        </w:rPr>
        <w:t>处理器设计不同的是，通过枚举的策略（图像旋转角度精度为</w:t>
      </w:r>
      <w:r>
        <w:t>0.5</w:t>
      </w:r>
      <w:r>
        <w:rPr>
          <w:rFonts w:hint="eastAsia"/>
        </w:rPr>
        <w:t>度）在</w:t>
      </w:r>
      <w:r>
        <w:rPr>
          <w:rFonts w:hint="eastAsia"/>
        </w:rPr>
        <w:t>FPGA</w:t>
      </w:r>
      <w:r>
        <w:rPr>
          <w:rFonts w:hint="eastAsia"/>
        </w:rPr>
        <w:t>通用处理器平台上构建出符合要求的图像内插滤波器，即预先计算出所有的相关参数，电路在运行的过程中通过相关判断自动将参数加载到电路中，并驱动电路运算得到期望的结果。</w:t>
      </w:r>
    </w:p>
    <w:p w:rsidR="0041564D" w:rsidRDefault="0041564D" w:rsidP="0041564D">
      <w:r>
        <w:t xml:space="preserve">      </w:t>
      </w:r>
      <w:r>
        <w:rPr>
          <w:rFonts w:hint="eastAsia"/>
        </w:rPr>
        <w:t>在通用</w:t>
      </w:r>
      <w:r>
        <w:rPr>
          <w:rFonts w:hint="eastAsia"/>
        </w:rPr>
        <w:t>GPU</w:t>
      </w:r>
      <w:r>
        <w:rPr>
          <w:rFonts w:hint="eastAsia"/>
        </w:rPr>
        <w:t>处理器进行图像相关运算时，必须预先通过</w:t>
      </w:r>
      <w:r>
        <w:rPr>
          <w:rFonts w:hint="eastAsia"/>
        </w:rPr>
        <w:t>SDK</w:t>
      </w:r>
      <w:r>
        <w:rPr>
          <w:rFonts w:hint="eastAsia"/>
        </w:rPr>
        <w:t>套件计算出相关参数，然后再根据</w:t>
      </w:r>
      <w:r>
        <w:rPr>
          <w:rFonts w:hint="eastAsia"/>
        </w:rPr>
        <w:t>GPU</w:t>
      </w:r>
      <w:r>
        <w:rPr>
          <w:rFonts w:hint="eastAsia"/>
        </w:rPr>
        <w:t>的通用架构模型进行电路搭建～</w:t>
      </w:r>
    </w:p>
    <w:p w:rsidR="0041564D" w:rsidRDefault="0041564D" w:rsidP="0041564D"/>
    <w:p w:rsidR="0041564D" w:rsidRDefault="0041564D" w:rsidP="0041564D">
      <w:pPr>
        <w:jc w:val="center"/>
      </w:pPr>
      <w:r>
        <w:object w:dxaOrig="4023" w:dyaOrig="4733">
          <v:shape id="_x0000_i1026" type="#_x0000_t75" style="width:201.05pt;height:236.4pt" o:ole="">
            <v:imagedata r:id="rId6" o:title=""/>
          </v:shape>
          <o:OLEObject Type="Embed" ProgID="Visio.Drawing.11" ShapeID="_x0000_i1026" DrawAspect="Content" ObjectID="_1621190452" r:id="rId7"/>
        </w:object>
      </w:r>
    </w:p>
    <w:p w:rsidR="0041564D" w:rsidRDefault="0041564D" w:rsidP="0041564D">
      <w:r>
        <w:rPr>
          <w:rFonts w:hint="eastAsia"/>
        </w:rPr>
        <w:t>原始图像规格为</w:t>
      </w:r>
      <w:r>
        <w:t>1920x1080=200</w:t>
      </w:r>
      <w:r>
        <w:rPr>
          <w:rFonts w:hint="eastAsia"/>
        </w:rPr>
        <w:t>万像素，图像旋转后的规格计算如下：</w:t>
      </w:r>
    </w:p>
    <w:p w:rsidR="0041564D" w:rsidRDefault="0041564D" w:rsidP="0041564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cosα</m:t>
                      </m:r>
                    </m:den>
                  </m:f>
                  <m:r>
                    <w:rPr>
                      <w:rFonts w:ascii="Cambria Math" w:hAnsi="Cambria Math"/>
                    </w:rPr>
                    <m:t>+l</m:t>
                  </m:r>
                  <m:r>
                    <w:rPr>
                      <w:rFonts w:ascii="Cambria Math" w:hAnsi="Cambria Math"/>
                    </w:rPr>
                    <m:t>sinα=H</m:t>
                  </m:r>
                </m:e>
                <m:e>
                  <m:r>
                    <w:rPr>
                      <w:rFonts w:ascii="Cambria Math" w:hAnsi="Cambria Math"/>
                    </w:rPr>
                    <m:t>lcosα+hsinα=L</m:t>
                  </m:r>
                </m:e>
              </m:eqArr>
            </m:e>
          </m:d>
        </m:oMath>
      </m:oMathPara>
    </w:p>
    <w:p w:rsidR="0041564D" w:rsidRDefault="0041564D" w:rsidP="0041564D">
      <w:r>
        <w:rPr>
          <w:rFonts w:hint="eastAsia"/>
        </w:rPr>
        <w:t>把</w:t>
      </w:r>
      <w:r>
        <w:rPr>
          <w:rFonts w:hint="eastAsia"/>
        </w:rPr>
        <w:t>H=10</w:t>
      </w:r>
      <w:r>
        <w:t>79</w:t>
      </w:r>
      <w:r>
        <w:rPr>
          <w:rFonts w:hint="eastAsia"/>
        </w:rPr>
        <w:t>，</w:t>
      </w:r>
      <w:r>
        <w:rPr>
          <w:rFonts w:hint="eastAsia"/>
        </w:rPr>
        <w:t>L=19</w:t>
      </w:r>
      <w:r>
        <w:t>19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。</m:t>
            </m:r>
          </m:sup>
        </m:sSup>
        <m:r>
          <m:rPr>
            <m:sty m:val="p"/>
          </m:rPr>
          <w:rPr>
            <w:rFonts w:ascii="Cambria Math" w:hAnsi="Cambria Math"/>
          </w:rPr>
          <m:t>=3.14/180</m:t>
        </m:r>
        <m:r>
          <w:rPr>
            <w:rFonts w:ascii="Cambria Math" w:hAnsi="Cambria Math"/>
          </w:rPr>
          <m:t>rad</m:t>
        </m:r>
      </m:oMath>
      <w:r>
        <w:rPr>
          <w:rFonts w:hint="eastAsia"/>
        </w:rPr>
        <w:t>条件带入上述方程式得到：</w:t>
      </w:r>
    </w:p>
    <w:p w:rsidR="0041564D" w:rsidRDefault="0041564D" w:rsidP="0041564D">
      <w:pPr>
        <w:jc w:val="center"/>
      </w:pPr>
      <m:oMathPara>
        <m:oMath>
          <m:r>
            <w:rPr>
              <w:rFonts w:ascii="Cambria Math" w:hAnsi="Cambria Math"/>
            </w:rPr>
            <m:t>h=1044,l=1900</m:t>
          </m:r>
        </m:oMath>
      </m:oMathPara>
    </w:p>
    <w:p w:rsidR="0041564D" w:rsidRDefault="0041564D" w:rsidP="0041564D">
      <w:pPr>
        <w:rPr>
          <w:b/>
        </w:rPr>
      </w:pPr>
      <w:r w:rsidRPr="00927D1B">
        <w:rPr>
          <w:rFonts w:hint="eastAsia"/>
          <w:b/>
        </w:rPr>
        <w:t>双线性图像内插数学方程式为（推导过程略）：</w:t>
      </w:r>
    </w:p>
    <w:p w:rsidR="0041564D" w:rsidRDefault="0041564D" w:rsidP="0041564D">
      <w:pPr>
        <w:jc w:val="center"/>
      </w:pPr>
      <w:r>
        <w:object w:dxaOrig="5762" w:dyaOrig="4535">
          <v:shape id="_x0000_i1027" type="#_x0000_t75" style="width:4in;height:226.85pt" o:ole="">
            <v:imagedata r:id="rId8" o:title=""/>
          </v:shape>
          <o:OLEObject Type="Embed" ProgID="Visio.Drawing.11" ShapeID="_x0000_i1027" DrawAspect="Content" ObjectID="_1621190453" r:id="rId9"/>
        </w:object>
      </w:r>
    </w:p>
    <w:p w:rsidR="0041564D" w:rsidRPr="005B6A24" w:rsidRDefault="0041564D" w:rsidP="0041564D">
      <w:pPr>
        <w:jc w:val="center"/>
        <w:rPr>
          <w:sz w:val="17"/>
          <w:szCs w:val="17"/>
        </w:rPr>
      </w:pPr>
      <m:oMathPara>
        <m:oMath>
          <m:r>
            <w:rPr>
              <w:rFonts w:ascii="Cambria Math" w:hAnsi="Cambria Math"/>
              <w:sz w:val="17"/>
              <w:szCs w:val="17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i+u,j+v</m:t>
              </m:r>
            </m:e>
          </m:d>
          <m:r>
            <w:rPr>
              <w:rFonts w:ascii="Cambria Math" w:hAnsi="Cambria Math"/>
              <w:sz w:val="17"/>
              <w:szCs w:val="17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1-u</m:t>
              </m:r>
            </m:e>
          </m:d>
          <m:r>
            <w:rPr>
              <w:rFonts w:ascii="Cambria Math" w:hAnsi="Cambria Math"/>
              <w:sz w:val="17"/>
              <w:szCs w:val="17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1-v</m:t>
              </m:r>
            </m:e>
          </m:d>
          <m:r>
            <w:rPr>
              <w:rFonts w:ascii="Cambria Math" w:hAnsi="Cambria Math"/>
              <w:sz w:val="17"/>
              <w:szCs w:val="17"/>
            </w:rPr>
            <m:t>×f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i,j</m:t>
              </m:r>
            </m:e>
          </m:d>
          <m:r>
            <w:rPr>
              <w:rFonts w:ascii="Cambria Math" w:hAnsi="Cambria Math"/>
              <w:sz w:val="17"/>
              <w:szCs w:val="17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1-u</m:t>
              </m:r>
            </m:e>
          </m:d>
          <m:r>
            <w:rPr>
              <w:rFonts w:ascii="Cambria Math" w:hAnsi="Cambria Math"/>
              <w:sz w:val="17"/>
              <w:szCs w:val="17"/>
            </w:rPr>
            <m:t>×v×f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i,j+1</m:t>
              </m:r>
            </m:e>
          </m:d>
          <m:r>
            <w:rPr>
              <w:rFonts w:ascii="Cambria Math" w:hAnsi="Cambria Math"/>
              <w:sz w:val="17"/>
              <w:szCs w:val="17"/>
            </w:rPr>
            <m:t>+u×(1-v)×f</m:t>
          </m:r>
          <m:d>
            <m:d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dPr>
            <m:e>
              <m:r>
                <w:rPr>
                  <w:rFonts w:ascii="Cambria Math" w:hAnsi="Cambria Math"/>
                  <w:sz w:val="17"/>
                  <w:szCs w:val="17"/>
                </w:rPr>
                <m:t>i+1,j</m:t>
              </m:r>
            </m:e>
          </m:d>
          <m:r>
            <w:rPr>
              <w:rFonts w:ascii="Cambria Math" w:hAnsi="Cambria Math"/>
              <w:sz w:val="17"/>
              <w:szCs w:val="17"/>
            </w:rPr>
            <m:t>+u×v×f(i+1,j+1)</m:t>
          </m:r>
        </m:oMath>
      </m:oMathPara>
    </w:p>
    <w:p w:rsidR="0041564D" w:rsidRDefault="0041564D" w:rsidP="0041564D">
      <w:r>
        <w:rPr>
          <w:rFonts w:hint="eastAsia"/>
        </w:rPr>
        <w:t>Matlab</w:t>
      </w:r>
      <w:r>
        <w:rPr>
          <w:rFonts w:hint="eastAsia"/>
        </w:rPr>
        <w:t>辅助设计的计算代码如下：</w:t>
      </w:r>
    </w:p>
    <w:p w:rsidR="0041564D" w:rsidRDefault="0041564D" w:rsidP="0041564D">
      <w:pPr>
        <w:jc w:val="center"/>
      </w:pPr>
      <w:r>
        <w:rPr>
          <w:noProof/>
        </w:rPr>
        <w:drawing>
          <wp:inline distT="0" distB="0" distL="0" distR="0">
            <wp:extent cx="3191510" cy="3217545"/>
            <wp:effectExtent l="19050" t="0" r="889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64D" w:rsidRDefault="0041564D" w:rsidP="0041564D"/>
    <w:p w:rsidR="0041564D" w:rsidRDefault="0041564D" w:rsidP="0041564D">
      <w:r>
        <w:rPr>
          <w:rFonts w:hint="eastAsia"/>
        </w:rPr>
        <w:t>整数部分指示哪些像素参与运算（电路中指示周边</w:t>
      </w:r>
      <w:r>
        <w:rPr>
          <w:rFonts w:hint="eastAsia"/>
        </w:rPr>
        <w:t>4</w:t>
      </w:r>
      <w:r>
        <w:rPr>
          <w:rFonts w:hint="eastAsia"/>
        </w:rPr>
        <w:t>个像素），小数部分是参与图像内插运算的相差参数；</w:t>
      </w:r>
    </w:p>
    <w:p w:rsidR="0041564D" w:rsidRDefault="0041564D" w:rsidP="0041564D">
      <w:r>
        <w:rPr>
          <w:rFonts w:hint="eastAsia"/>
        </w:rPr>
        <w:t>图像内插滤波器电路框架如下：</w:t>
      </w:r>
    </w:p>
    <w:p w:rsidR="0041564D" w:rsidRDefault="0041564D" w:rsidP="0041564D">
      <w:r>
        <w:t xml:space="preserve">   </w:t>
      </w:r>
      <w:r>
        <w:rPr>
          <w:rFonts w:hint="eastAsia"/>
        </w:rPr>
        <w:t>预先通过</w:t>
      </w:r>
      <w:r>
        <w:rPr>
          <w:rFonts w:hint="eastAsia"/>
        </w:rPr>
        <w:t>Matlab</w:t>
      </w:r>
      <w:r>
        <w:rPr>
          <w:rFonts w:hint="eastAsia"/>
        </w:rPr>
        <w:t>平台把参数计算好，并存储在</w:t>
      </w:r>
      <w:r>
        <w:rPr>
          <w:rFonts w:hint="eastAsia"/>
        </w:rPr>
        <w:t>Controller/BlockRAM</w:t>
      </w:r>
      <w:r>
        <w:rPr>
          <w:rFonts w:hint="eastAsia"/>
        </w:rPr>
        <w:t>模块中，整数部分指示了哪些像素参与运算，小数部分就是内插参数</w:t>
      </w:r>
      <w:r>
        <w:rPr>
          <w:rFonts w:hint="eastAsia"/>
        </w:rPr>
        <w:t>u,v</w:t>
      </w:r>
      <w:r>
        <w:rPr>
          <w:rFonts w:hint="eastAsia"/>
        </w:rPr>
        <w:t>；</w:t>
      </w:r>
    </w:p>
    <w:p w:rsidR="0041564D" w:rsidRDefault="0041564D" w:rsidP="0041564D">
      <w:r>
        <w:t xml:space="preserve">    </w:t>
      </w:r>
      <w:r>
        <w:rPr>
          <w:rFonts w:hint="eastAsia"/>
        </w:rPr>
        <w:t>内插旋转精度为</w:t>
      </w:r>
      <w:r>
        <w:t>0.5</w:t>
      </w:r>
      <w:r>
        <w:rPr>
          <w:rFonts w:hint="eastAsia"/>
        </w:rPr>
        <w:t>度，采用枚举法分别并行计算出旋转</w:t>
      </w:r>
      <w:r>
        <w:t>0.5</w:t>
      </w:r>
      <w:r>
        <w:rPr>
          <w:rFonts w:hint="eastAsia"/>
        </w:rPr>
        <w:t>度，旋转</w:t>
      </w:r>
      <w:r>
        <w:rPr>
          <w:rFonts w:hint="eastAsia"/>
        </w:rPr>
        <w:t>1</w:t>
      </w:r>
      <w:r>
        <w:rPr>
          <w:rFonts w:hint="eastAsia"/>
        </w:rPr>
        <w:t>度出来的图像；</w:t>
      </w:r>
    </w:p>
    <w:p w:rsidR="00911EC7" w:rsidRDefault="0041564D" w:rsidP="0041564D">
      <w:r>
        <w:object w:dxaOrig="7426" w:dyaOrig="4307">
          <v:shape id="_x0000_i1028" type="#_x0000_t75" style="width:371.55pt;height:215.3pt" o:ole="">
            <v:imagedata r:id="rId11" o:title=""/>
          </v:shape>
          <o:OLEObject Type="Embed" ProgID="Visio.Drawing.11" ShapeID="_x0000_i1028" DrawAspect="Content" ObjectID="_1621190454" r:id="rId12"/>
        </w:object>
      </w:r>
    </w:p>
    <w:sectPr w:rsidR="0091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41564D"/>
    <w:rsid w:val="0041564D"/>
    <w:rsid w:val="00911EC7"/>
    <w:rsid w:val="00DA4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4D"/>
  </w:style>
  <w:style w:type="paragraph" w:styleId="Heading1">
    <w:name w:val="heading 1"/>
    <w:basedOn w:val="Normal"/>
    <w:next w:val="Normal"/>
    <w:link w:val="Heading1Char"/>
    <w:uiPriority w:val="9"/>
    <w:qFormat/>
    <w:rsid w:val="00415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4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5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5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4</cp:revision>
  <dcterms:created xsi:type="dcterms:W3CDTF">2019-06-05T04:54:00Z</dcterms:created>
  <dcterms:modified xsi:type="dcterms:W3CDTF">2019-06-05T04:54:00Z</dcterms:modified>
</cp:coreProperties>
</file>