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A113E0">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A113E0">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instalación del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98C" w:rsidRDefault="002E398C" w:rsidP="009B6E8C">
      <w:pPr>
        <w:spacing w:after="0" w:line="240" w:lineRule="auto"/>
      </w:pPr>
      <w:r>
        <w:separator/>
      </w:r>
    </w:p>
  </w:endnote>
  <w:endnote w:type="continuationSeparator" w:id="0">
    <w:p w:rsidR="002E398C" w:rsidRDefault="002E398C"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98C" w:rsidRDefault="002E398C" w:rsidP="009B6E8C">
      <w:pPr>
        <w:spacing w:after="0" w:line="240" w:lineRule="auto"/>
      </w:pPr>
      <w:r>
        <w:separator/>
      </w:r>
    </w:p>
  </w:footnote>
  <w:footnote w:type="continuationSeparator" w:id="0">
    <w:p w:rsidR="002E398C" w:rsidRDefault="002E398C"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398C"/>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D44BD"/>
    <w:rsid w:val="008F508B"/>
    <w:rsid w:val="008F7F18"/>
    <w:rsid w:val="00910ED2"/>
    <w:rsid w:val="009221FE"/>
    <w:rsid w:val="00923284"/>
    <w:rsid w:val="009277C6"/>
    <w:rsid w:val="00950F5A"/>
    <w:rsid w:val="0097256C"/>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113E0"/>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DACF7-13F0-4395-9711-8A454260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4980</Words>
  <Characters>27395</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2014-01-29T14:06:00Z</dcterms:modified>
</cp:coreProperties>
</file>